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5" w:rsidRPr="004F62D5" w:rsidRDefault="004F62D5" w:rsidP="004F62D5">
      <w:pPr>
        <w:widowControl/>
        <w:shd w:val="clear" w:color="auto" w:fill="FFFFFF"/>
        <w:spacing w:before="100" w:beforeAutospacing="1" w:after="100" w:afterAutospacing="1" w:line="480" w:lineRule="exact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附件：</w:t>
      </w:r>
      <w:r w:rsidRPr="004F62D5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  <w:bookmarkStart w:id="0" w:name="_GoBack"/>
      <w:bookmarkEnd w:id="0"/>
    </w:p>
    <w:tbl>
      <w:tblPr>
        <w:tblW w:w="10618" w:type="dxa"/>
        <w:tblInd w:w="-601" w:type="dxa"/>
        <w:tblLayout w:type="fixed"/>
        <w:tblLook w:val="04A0"/>
      </w:tblPr>
      <w:tblGrid>
        <w:gridCol w:w="425"/>
        <w:gridCol w:w="782"/>
        <w:gridCol w:w="850"/>
        <w:gridCol w:w="993"/>
        <w:gridCol w:w="353"/>
        <w:gridCol w:w="567"/>
        <w:gridCol w:w="3260"/>
        <w:gridCol w:w="3388"/>
      </w:tblGrid>
      <w:tr w:rsidR="004F62D5" w:rsidRPr="00FA03A1" w:rsidTr="00FF1962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序号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颜色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技术说明</w:t>
            </w:r>
            <w:r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（参考）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参考图片</w:t>
            </w:r>
          </w:p>
        </w:tc>
      </w:tr>
      <w:tr w:rsidR="004F62D5" w:rsidRPr="00FA03A1" w:rsidTr="00FF1962">
        <w:trPr>
          <w:trHeight w:val="60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钢木单人床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2150*1200*400/1030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为磁白细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皱、木制部分加拿大胡桃木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1、板材：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吉林森工“露水河”三聚氰胺双饰板，标准18mm厚，环保要求达E1级，甲醛含量低于4.0mg/100g，各项指标优于国家标准。(GB18580-2001标准≤9mg/100g)三聚氰胺饰面板厚度不小于0.6mm,2mm同色PVC</w:t>
            </w: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封边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，走线孔内缘和隐蔽部位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全部封边处理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，物理性能佳，不易变形及开裂，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封边细腻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，线条均匀，转角过渡自然，从而保证产品美观、大方、实用。</w:t>
            </w: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2、粘 合 剂：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采用“胶王”牌粘合剂或同等级优质粘合剂，游离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甲笨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＜0.2g/kg ，优于国家标准 。(GB18583-2001标准≤1g/1kg)</w:t>
            </w: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3、床架：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床架采用40*1.5封闭型钢、拉撑采用30*1.5封闭型钢焊接而成，连接件采用专用长条型连接件，金属件焊接部位应无缝、错位、结疤、杂渣等缺陷，经酸洗磷化处理后，表面高压静电粉末喷涂，附着力强。</w:t>
            </w: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4、涂料：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要求涂料选用阿克苏诺贝尔粉末涂料或同等档次涂料。</w:t>
            </w: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5、钢材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选用上海宝钢、武钢或同等级一级优质冷轧钢板。</w:t>
            </w:r>
            <w:r w:rsidRPr="00FA03A1">
              <w:rPr>
                <w:rFonts w:ascii="华文仿宋" w:eastAsia="华文仿宋" w:hAnsi="华文仿宋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依据QB/T2741-2005标准、GB18584-2001标准。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448310</wp:posOffset>
                  </wp:positionV>
                  <wp:extent cx="2040890" cy="1711325"/>
                  <wp:effectExtent l="0" t="0" r="0" b="0"/>
                  <wp:wrapNone/>
                  <wp:docPr id="12" name="图片 12" descr="说明: 2015013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20150131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3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right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单人床棕垫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规格：2000*1200*50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 xml:space="preserve">　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床垫：高级织棉面料+纯天然椰棕，厚度50mm。主材质：高级织锦面料（打理方便，透气性好）副材质：纯天然椰棕（防腐、透气通爽、冬暖夏凉）。依据QB/T2741-2005标准、GB18584-2001标准。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322580</wp:posOffset>
                  </wp:positionV>
                  <wp:extent cx="1977390" cy="1616075"/>
                  <wp:effectExtent l="0" t="0" r="0" b="0"/>
                  <wp:wrapNone/>
                  <wp:docPr id="11" name="图片 11" descr="说明: 2015013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20150131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6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钢木双人床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2150*1500*400/1030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为磁白细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皱、木制部分加拿大胡桃木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、板材：吉林森工“露水河”三聚氰胺双饰板，标准18mm厚，环保要求达E1级，甲醛含量低于4.0mg/100g，各项指标优于国家标准。(GB18580-2001标准≤9mg/100g)三聚氰胺饰面板厚度不小于0.6mm,2mm同色PVC封边，走线孔内缘和隐蔽部位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全部封边处理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，物理性能佳，不易变形及开裂，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封边细腻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，线条均匀，转角过渡自然，从而保证产品美观、大方、实用。2、粘 合 剂：采用“胶王”牌粘合剂或同等级优质粘合剂，游离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甲笨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＜0.2g/kg ，优于国家标准 。(GB18583-2001标准≤1g/1kg)3、床架：床架采用40*1.5封闭型钢、拉撑采用30*1.5封闭型钢焊接而成，连接件采用专用长条型连接件，金属件焊接部位应无缝、错位、结疤、杂渣等缺陷，经酸洗磷化处理后，表面高压静电粉末喷涂，附着力强。4、涂料：要求涂料选用阿克苏诺贝尔粉末涂料或同等档次涂料。5、钢材选用上海宝钢、武钢或同等级一级优质冷轧钢板。依据QB/T2741-2005标准、GB18584-2001标准。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556260</wp:posOffset>
                  </wp:positionV>
                  <wp:extent cx="2009140" cy="1711325"/>
                  <wp:effectExtent l="0" t="0" r="0" b="0"/>
                  <wp:wrapNone/>
                  <wp:docPr id="10" name="图片 10" descr="说明: 2015013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20150131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3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双人床棕垫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棕垫规格：2000*1500*50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 xml:space="preserve">　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床垫：高级织棉面料+纯天然椰棕，厚度50mm。主材质：高级织锦面料（打理方便，透气性好）副材质：纯天然椰棕（防腐、透气通爽、冬暖夏凉）。依据QB/T2741-2005标准、GB18584-2001标准。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79375</wp:posOffset>
                  </wp:positionV>
                  <wp:extent cx="1971675" cy="1971675"/>
                  <wp:effectExtent l="0" t="0" r="0" b="0"/>
                  <wp:wrapNone/>
                  <wp:docPr id="9" name="图片 9" descr="说明: 2015013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说明: 20150131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5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床头柜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400*435*550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为磁白细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皱、木制部分加拿大胡桃木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1、钢木结构,台面为25mm吉林森工“露水河”三聚氰胺双饰面板，环保要求达E1级，三聚氰胺饰面板厚度不小于0.6mm,2mm同色PVC封边，走线孔内缘和隐蔽部位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全部封边处理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，物理性能佳，不易变形及开裂，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封边细腻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，线条均匀，转角过渡自然，从而保证产品美观、大方、实用。2、粘 合 剂：采用“胶王”牌粘合剂或同等级优质粘合剂，游离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甲笨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＜0.2g/kg ，优于国家标准 。(GB18583-2001标准≤1g/1kg) 其余采用1.0mm优质冷轧钢板。3、柜体经酸洗磷化处理后表面高压静电粉末喷涂，环保，无毒、无味附着力强。4、选用铝合金扣手，导轨采用DTC静音三节滑轨或同等级优质五金件。5、材质要求涂料选用阿克苏诺贝尔粉末涂料或同等档次涂料。6、钢材选用上海宝钢、武钢或同等级一级优质冷轧钢板。依据QB/T2384-1998标准、GB18584-2001标准。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946150</wp:posOffset>
                  </wp:positionV>
                  <wp:extent cx="1958340" cy="1543050"/>
                  <wp:effectExtent l="0" t="0" r="0" b="0"/>
                  <wp:wrapNone/>
                  <wp:docPr id="8" name="图片 8" descr="说明: 床头柜-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说明: 床头柜-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三门衣柜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1200*500*2000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颜色与卧室家具配套考虑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、全钢结构，柜体选用0.8mm厚优质冷轧钢板，经剪板、冲压、折弯、焊接而成，整体结构稳固。2、柜体经酸洗磷化处理后表面高压静电粉末喷涂，环保，无毒、无味附着力强。3、选用铝合金拉手，选用DTC优质阻尼铰链或同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等级优质五金件。4、材质要求涂料选用阿克苏诺贝尔粉末涂料或同等档次涂料。5、钢材选用上海宝钢、武钢或同等级一级优质冷轧钢板.依据GB/T13668-2003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249555</wp:posOffset>
                  </wp:positionV>
                  <wp:extent cx="1803400" cy="1540510"/>
                  <wp:effectExtent l="0" t="0" r="0" b="0"/>
                  <wp:wrapNone/>
                  <wp:docPr id="7" name="图片 7" descr="说明: 201501127三门板二门衣柜2-111111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说明: 201501127三门板二门衣柜2-111111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4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钢木办公桌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1400*600*750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为磁白细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皱、木制部分加拿大胡桃木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1、钢木结构,台面吉林森工“露水河”E1级三聚氰胺板,塑料键盘托.用料:台面为25mm三聚氰胺双饰面板，三聚氰胺饰面板厚度不小于0.6mm,2mm同色PVC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封边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, 其余采用1.0mm优质冷轧钢板。2、粘 合 剂：采用“胶王”牌粘合剂或同等级优质粘合剂，游离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甲笨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＜0.2g/kg ，优于国家标准 。(GB18583-2001标准≤1g/1kg)3、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桌架经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 xml:space="preserve">酸洗磷化处理后表面高压静电粉末喷涂，环保，无毒、无味附着力强。4、选用铝合金扣手，导轨选用DTC静音三节滑轨或同等级优质五金件。5、材质要求涂料选用阿克苏诺贝尔粉末涂料或同等档次涂料。6、钢材选用武钢优质冷轧钢板。依据QB/T2384-1998标准、GB18584-2001标准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779780</wp:posOffset>
                  </wp:positionV>
                  <wp:extent cx="1974850" cy="1775460"/>
                  <wp:effectExtent l="0" t="0" r="0" b="0"/>
                  <wp:wrapNone/>
                  <wp:docPr id="6" name="图片 6" descr="说明: 钢木办公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说明: 钢木办公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28" t="14941" r="54697" b="28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4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钢木椅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410*415*420/850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为磁白细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皱、木制部分加拿大胡桃木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凳面：环保要求达E1级。标准25mm,吉林森工“露水河”三聚氰胺饰面，基层（防潮）刨花板，三聚氰胺饰面板厚度不小于0.6mm,2mm同色PVC封边。凳架：采用25*1.2封闭型钢、拉撑采用20*1.2封闭型 钢焊接而成，连接件采用专用长条型连接件，金属件焊接部位应无缝、错位、结疤、杂渣等缺陷，经酸洗磷化处理后表面高压静电粉末喷涂，附着力强。粘 合 剂：采用“胶王”牌粘合剂或同等级优质粘合剂，游离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甲笨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 xml:space="preserve">＜0.2g/kg ，优于国家标准 。(GB18583-2001标准≤1g/1kg)。钢材选用上海宝钢、武钢或同等级一级优质冷轧钢板。依据QB/T2384-1998标准、GB18584-2001标准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226695</wp:posOffset>
                  </wp:positionV>
                  <wp:extent cx="1626235" cy="1934845"/>
                  <wp:effectExtent l="0" t="0" r="0" b="0"/>
                  <wp:wrapNone/>
                  <wp:docPr id="5" name="图片 5" descr="说明: 20141023_16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说明: 20141023_16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06" t="11224" r="11713" b="6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3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上开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玻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书柜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900*400*1808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钢制部分为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磁白细皱</w:t>
            </w:r>
            <w:proofErr w:type="gram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、全钢结构，柜体选用0.8mm厚优质冷轧钢板，经剪板、冲压、折弯、焊接而成，整体结构稳固。2、经酸洗磷化处理后表面高压静电粉末喷涂，环保，无毒、无味附着力强。2、选用铝合金扣手，WT优质锁具，或同等级优质五金件。3、材质要求涂料选用阿克苏诺贝尔粉末涂料或同等档次涂料。4、钢材选用上海宝钢、武钢或同等级一级优质冷轧钢板。依据GB/T13668-2003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79375</wp:posOffset>
                  </wp:positionV>
                  <wp:extent cx="1957705" cy="1677035"/>
                  <wp:effectExtent l="0" t="0" r="0" b="0"/>
                  <wp:wrapNone/>
                  <wp:docPr id="4" name="图片 4" descr="说明: 201501064上开玻资料柜-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说明: 201501064上开玻资料柜-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钢木电视柜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1200*450*450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为磁白细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皱、木制部分加拿大胡桃木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1、钢木结构,台面三聚氰胺板,台面为25mm吉林森工“露水河”E1级三聚氰胺双饰面板，三聚氰胺饰面板厚度不小于0.6mm,2mm同色PVC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封边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,其余采用1.0mm优质冷轧钢板。2、粘 合 剂：采用“胶王”牌粘合剂或同等级优质粘合剂，游离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甲笨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 xml:space="preserve">＜0.2g/kg ，优于国家标准 。(GB18583-2001标准≤1g/1kg)3、柜体经酸洗磷化处理后表面高压静电粉末喷涂，环保，无毒、无味附着力强。4、选用DTC静音三节滑轨，选用DTC优质阻尼铰链或同等级优质五金件。5、材质要求涂料选用阿克苏诺贝尔粉末涂料或同等档次涂料。6、钢材选用上海宝钢、武钢或同等级一级优质冷轧钢板。依据QB/T2384-1998标准、GB18584-2001标准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840105</wp:posOffset>
                  </wp:positionV>
                  <wp:extent cx="1737360" cy="1439545"/>
                  <wp:effectExtent l="0" t="0" r="0" b="0"/>
                  <wp:wrapNone/>
                  <wp:docPr id="3" name="图片 3" descr="说明: 电视柜-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说明: 电视柜-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30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三座木凉椅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1800*700*400/850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胡桃色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材质主体框架选用优质进口橡胶木，其余为等同优于“大亚”品质的多层实木交合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板经过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防虫、防腐、高温、高压处理，符合环保要求，密度大于760kG/M3,游离甲醛≤1.5mg/L。所有木材材质含水率≤12%。2、油漆采用等同或优于“大宝”品质的绿色环保油漆，漆面光泽度高，无颗粒、无气泡、无渣点，颜色均匀、硬度达H级。4、甲醛释放量符合国家标准</w:t>
            </w: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（GB18580-2001)小于036/100G：（不含座、靠垫）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326390</wp:posOffset>
                  </wp:positionV>
                  <wp:extent cx="1965325" cy="1491615"/>
                  <wp:effectExtent l="0" t="0" r="0" b="0"/>
                  <wp:wrapNone/>
                  <wp:docPr id="2" name="图片 2" descr="说明: 20150130_161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说明: 20150130_161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2D5" w:rsidRPr="00FA03A1" w:rsidTr="00FF1962">
        <w:trPr>
          <w:trHeight w:val="28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lastRenderedPageBreak/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大茶机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1200*600*450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钢制部分为不锈钢本色、木制部分加拿大胡桃木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color w:val="000000"/>
                <w:spacing w:val="-20"/>
                <w:kern w:val="0"/>
                <w:sz w:val="22"/>
              </w:rPr>
            </w:pPr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材质主体框架选用优质进口橡胶木，其余为等同优于“大亚”品质的多层实木交合</w:t>
            </w:r>
            <w:proofErr w:type="gramStart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板经过</w:t>
            </w:r>
            <w:proofErr w:type="gramEnd"/>
            <w:r w:rsidRPr="00FA03A1">
              <w:rPr>
                <w:rFonts w:ascii="华文仿宋" w:eastAsia="华文仿宋" w:hAnsi="华文仿宋" w:cs="宋体" w:hint="eastAsia"/>
                <w:color w:val="000000"/>
                <w:spacing w:val="-20"/>
                <w:kern w:val="0"/>
                <w:sz w:val="22"/>
              </w:rPr>
              <w:t>防虫、防腐、高温、高压处理，符合环保要求，密度大于760kG/M3,游离甲醛≤1.5mg/L。所有木材材质含水率≤12%。2、油漆采用等同或优于“大宝”品质的绿色环保油漆，漆面光泽度高，无颗粒、无气泡、无渣点，颜色均匀、硬度达H级。4、甲醛释放量符合国家标准（GB18580-2001)小于036/100G：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D5" w:rsidRPr="00FA03A1" w:rsidRDefault="004F62D5" w:rsidP="00FF196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542290</wp:posOffset>
                  </wp:positionV>
                  <wp:extent cx="1991360" cy="1490345"/>
                  <wp:effectExtent l="0" t="0" r="0" b="0"/>
                  <wp:wrapNone/>
                  <wp:docPr id="1" name="图片 1" descr="说明: 20150130_165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说明: 20150130_165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62D5" w:rsidRPr="00A84890" w:rsidRDefault="004F62D5" w:rsidP="004F62D5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4890">
        <w:rPr>
          <w:rFonts w:ascii="仿宋_GB2312" w:eastAsia="仿宋_GB2312" w:hAnsi="微软雅黑" w:cs="宋体" w:hint="eastAsia"/>
          <w:b/>
          <w:bCs/>
          <w:color w:val="000000"/>
          <w:kern w:val="0"/>
          <w:szCs w:val="21"/>
        </w:rPr>
        <w:t>注：以上技术要求均为参考，投标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Cs w:val="21"/>
        </w:rPr>
        <w:t>人可优化改进家具的材质、色调、</w:t>
      </w:r>
      <w:r>
        <w:rPr>
          <w:rFonts w:ascii="仿宋_GB2312" w:eastAsia="仿宋_GB2312" w:hAnsi="微软雅黑" w:cs="宋体"/>
          <w:b/>
          <w:bCs/>
          <w:color w:val="000000"/>
          <w:kern w:val="0"/>
          <w:szCs w:val="21"/>
        </w:rPr>
        <w:t>工艺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Cs w:val="21"/>
        </w:rPr>
        <w:t>等</w:t>
      </w:r>
      <w:r>
        <w:rPr>
          <w:rFonts w:ascii="仿宋_GB2312" w:eastAsia="仿宋_GB2312" w:hAnsi="微软雅黑" w:cs="宋体"/>
          <w:b/>
          <w:bCs/>
          <w:color w:val="000000"/>
          <w:kern w:val="0"/>
          <w:szCs w:val="21"/>
        </w:rPr>
        <w:t>。</w:t>
      </w:r>
    </w:p>
    <w:p w:rsidR="004358AB" w:rsidRPr="004F62D5" w:rsidRDefault="004358AB" w:rsidP="00323B43"/>
    <w:sectPr w:rsidR="004358AB" w:rsidRPr="004F62D5" w:rsidSect="00912E58">
      <w:footerReference w:type="even" r:id="rId17"/>
      <w:footerReference w:type="default" r:id="rId18"/>
      <w:footerReference w:type="first" r:id="rId19"/>
      <w:pgSz w:w="11907" w:h="16840"/>
      <w:pgMar w:top="1276" w:right="1361" w:bottom="1238" w:left="1276" w:header="851" w:footer="992" w:gutter="0"/>
      <w:pgNumType w:fmt="numberInDash" w:start="1"/>
      <w:cols w:space="720"/>
      <w:titlePg/>
      <w:docGrid w:type="lines" w:linePitch="310" w:charSpace="106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4F62D5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- 11 -</w:t>
    </w:r>
    <w:r>
      <w:fldChar w:fldCharType="end"/>
    </w:r>
  </w:p>
  <w:p w:rsidR="001A2D31" w:rsidRDefault="004F62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4F62D5" w:rsidP="001A2D31">
    <w:pPr>
      <w:pStyle w:val="a3"/>
      <w:ind w:firstLineChars="2450" w:firstLine="4410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- 2 -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4F62D5">
    <w:pPr>
      <w:pStyle w:val="a3"/>
      <w:ind w:firstLineChars="2450" w:firstLine="4410"/>
    </w:pPr>
    <w:r>
      <w:rPr>
        <w:rFonts w:hint="eastAsia"/>
      </w:rPr>
      <w:t>-1-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F62D5"/>
    <w:rsid w:val="00196E38"/>
    <w:rsid w:val="00323B43"/>
    <w:rsid w:val="003D37D8"/>
    <w:rsid w:val="004358AB"/>
    <w:rsid w:val="004F62D5"/>
    <w:rsid w:val="008B7726"/>
    <w:rsid w:val="008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D5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F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62D5"/>
    <w:rPr>
      <w:rFonts w:eastAsiaTheme="minorEastAsia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4F62D5"/>
    <w:pPr>
      <w:ind w:firstLineChars="200" w:firstLine="420"/>
    </w:pPr>
  </w:style>
  <w:style w:type="character" w:styleId="a5">
    <w:name w:val="page number"/>
    <w:basedOn w:val="a0"/>
    <w:rsid w:val="004F6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569</Words>
  <Characters>3247</Characters>
  <Application>Microsoft Office Word</Application>
  <DocSecurity>0</DocSecurity>
  <Lines>27</Lines>
  <Paragraphs>7</Paragraphs>
  <ScaleCrop>false</ScaleCrop>
  <Company>微软中国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2015-10-28T08:20:00Z</dcterms:created>
  <dcterms:modified xsi:type="dcterms:W3CDTF">2015-10-28T08:23:00Z</dcterms:modified>
</cp:coreProperties>
</file>