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0B" w:rsidRDefault="00325CD2">
      <w:pPr>
        <w:spacing w:beforeLines="50" w:before="156" w:afterLines="100" w:after="312" w:line="720" w:lineRule="exact"/>
        <w:jc w:val="center"/>
        <w:rPr>
          <w:rFonts w:ascii="方正小标宋简体" w:eastAsia="方正小标宋简体" w:hAnsi="黑体" w:cs="宋体"/>
          <w:bCs/>
          <w:sz w:val="44"/>
          <w:szCs w:val="32"/>
        </w:rPr>
      </w:pPr>
      <w:r>
        <w:rPr>
          <w:rFonts w:ascii="方正小标宋简体" w:eastAsia="方正小标宋简体" w:hAnsi="黑体" w:cs="宋体" w:hint="eastAsia"/>
          <w:bCs/>
          <w:sz w:val="44"/>
          <w:szCs w:val="32"/>
        </w:rPr>
        <w:t>2020年度国有资产管理工作报告</w:t>
      </w:r>
    </w:p>
    <w:p w:rsidR="00F57F0B" w:rsidRDefault="00325CD2">
      <w:pPr>
        <w:spacing w:line="600" w:lineRule="exact"/>
        <w:jc w:val="left"/>
        <w:rPr>
          <w:rFonts w:ascii="仿宋_GB2312" w:eastAsia="仿宋_GB2312"/>
          <w:sz w:val="32"/>
          <w:szCs w:val="32"/>
        </w:rPr>
      </w:pPr>
      <w:proofErr w:type="gramStart"/>
      <w:r>
        <w:rPr>
          <w:rFonts w:ascii="仿宋_GB2312" w:eastAsia="仿宋_GB2312" w:hint="eastAsia"/>
          <w:sz w:val="32"/>
          <w:szCs w:val="32"/>
        </w:rPr>
        <w:t>校国有</w:t>
      </w:r>
      <w:proofErr w:type="gramEnd"/>
      <w:r>
        <w:rPr>
          <w:rFonts w:ascii="仿宋_GB2312" w:eastAsia="仿宋_GB2312" w:hint="eastAsia"/>
          <w:sz w:val="32"/>
          <w:szCs w:val="32"/>
        </w:rPr>
        <w:t>资产监督管理委员会：</w:t>
      </w:r>
    </w:p>
    <w:p w:rsidR="00F57F0B" w:rsidRDefault="00325CD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财政部关于修改&lt;事业单位国有资产管理暂行办法&gt;的决定》（财政部令第100号）和《事业单位国有资产报告制度》的有关规定，以2020年资产年报数据为基础，现将我校2020年度资产总量、构成、变动、使用以及管理情况报告如下，请审议。</w:t>
      </w:r>
    </w:p>
    <w:p w:rsidR="00F57F0B" w:rsidRDefault="00325CD2">
      <w:pPr>
        <w:spacing w:line="600" w:lineRule="exact"/>
        <w:ind w:firstLine="640"/>
        <w:rPr>
          <w:rFonts w:ascii="黑体" w:eastAsia="黑体" w:hAnsi="黑体"/>
          <w:sz w:val="32"/>
          <w:szCs w:val="32"/>
        </w:rPr>
      </w:pPr>
      <w:r>
        <w:rPr>
          <w:rFonts w:ascii="黑体" w:eastAsia="黑体" w:hAnsi="黑体" w:hint="eastAsia"/>
          <w:sz w:val="32"/>
          <w:szCs w:val="32"/>
        </w:rPr>
        <w:t>一、学校资产基本情况</w:t>
      </w:r>
    </w:p>
    <w:p w:rsidR="00F57F0B" w:rsidRDefault="00325CD2">
      <w:pPr>
        <w:spacing w:line="600" w:lineRule="exact"/>
        <w:ind w:firstLine="641"/>
        <w:jc w:val="left"/>
        <w:rPr>
          <w:rFonts w:ascii="仿宋_GB2312" w:eastAsia="仿宋_GB2312"/>
          <w:sz w:val="32"/>
          <w:szCs w:val="32"/>
        </w:rPr>
      </w:pPr>
      <w:r>
        <w:rPr>
          <w:rFonts w:ascii="仿宋_GB2312" w:eastAsia="仿宋_GB2312" w:hint="eastAsia"/>
          <w:sz w:val="32"/>
          <w:szCs w:val="32"/>
        </w:rPr>
        <w:t>2020 年 12月31日，我校总资产净值50.77亿元，其中：流动资产19.01亿元，占37.45%，非流动资产31.69亿元，占62.42%，受托代理资产655.19万元，占0.13%。资产构成情况如图1所示：</w:t>
      </w:r>
    </w:p>
    <w:p w:rsidR="00F57F0B" w:rsidRDefault="00F57F0B">
      <w:pPr>
        <w:spacing w:line="360" w:lineRule="auto"/>
        <w:ind w:firstLine="640"/>
        <w:jc w:val="left"/>
        <w:rPr>
          <w:rFonts w:ascii="仿宋_GB2312" w:eastAsia="仿宋_GB2312"/>
          <w:sz w:val="32"/>
          <w:szCs w:val="32"/>
        </w:rPr>
      </w:pPr>
    </w:p>
    <w:p w:rsidR="00F57F0B" w:rsidRDefault="00325CD2">
      <w:pPr>
        <w:spacing w:line="360" w:lineRule="auto"/>
        <w:ind w:firstLine="640"/>
        <w:jc w:val="center"/>
        <w:rPr>
          <w:rFonts w:ascii="仿宋_GB2312" w:eastAsia="仿宋_GB2312"/>
          <w:sz w:val="32"/>
          <w:szCs w:val="32"/>
        </w:rPr>
      </w:pPr>
      <w:r>
        <w:rPr>
          <w:noProof/>
        </w:rPr>
        <w:drawing>
          <wp:inline distT="0" distB="0" distL="114300" distR="114300">
            <wp:extent cx="4650105" cy="2895600"/>
            <wp:effectExtent l="0" t="0" r="1714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57F0B" w:rsidRDefault="00325CD2">
      <w:pPr>
        <w:spacing w:line="360" w:lineRule="auto"/>
        <w:ind w:firstLine="640"/>
        <w:jc w:val="left"/>
        <w:rPr>
          <w:rFonts w:ascii="仿宋_GB2312" w:eastAsia="仿宋_GB2312"/>
          <w:sz w:val="32"/>
          <w:szCs w:val="32"/>
        </w:rPr>
      </w:pPr>
      <w:r>
        <w:rPr>
          <w:rFonts w:ascii="仿宋_GB2312" w:eastAsia="仿宋_GB2312" w:hint="eastAsia"/>
          <w:sz w:val="32"/>
          <w:szCs w:val="32"/>
        </w:rPr>
        <w:t>较上年净增加2.78亿元，增长了5.80%。各类资产变动</w:t>
      </w:r>
      <w:r>
        <w:rPr>
          <w:rFonts w:ascii="仿宋_GB2312" w:eastAsia="仿宋_GB2312" w:hint="eastAsia"/>
          <w:sz w:val="32"/>
          <w:szCs w:val="32"/>
        </w:rPr>
        <w:lastRenderedPageBreak/>
        <w:t>情况详见表1：</w:t>
      </w:r>
    </w:p>
    <w:p w:rsidR="00F57F0B" w:rsidRDefault="00325CD2">
      <w:pPr>
        <w:shd w:val="clear" w:color="auto" w:fill="FFFFFF"/>
        <w:ind w:firstLineChars="100" w:firstLine="321"/>
        <w:rPr>
          <w:rFonts w:ascii="仿宋" w:eastAsia="仿宋" w:hAnsi="仿宋" w:cs="仿宋"/>
          <w:sz w:val="32"/>
          <w:szCs w:val="32"/>
        </w:rPr>
      </w:pPr>
      <w:r>
        <w:rPr>
          <w:rFonts w:ascii="仿宋" w:eastAsia="仿宋" w:hAnsi="仿宋" w:cs="仿宋" w:hint="eastAsia"/>
          <w:b/>
          <w:bCs/>
          <w:sz w:val="32"/>
          <w:szCs w:val="32"/>
        </w:rPr>
        <w:t>表1              2020年资产变动情况表</w:t>
      </w:r>
    </w:p>
    <w:p w:rsidR="00F57F0B" w:rsidRDefault="00325CD2">
      <w:pPr>
        <w:shd w:val="clear" w:color="auto" w:fill="FFFFFF"/>
        <w:ind w:right="839"/>
        <w:jc w:val="right"/>
        <w:rPr>
          <w:sz w:val="28"/>
          <w:szCs w:val="28"/>
        </w:rPr>
      </w:pPr>
      <w:r>
        <w:rPr>
          <w:rFonts w:ascii="仿宋" w:eastAsia="仿宋" w:hAnsi="仿宋" w:cs="仿宋" w:hint="eastAsia"/>
          <w:sz w:val="28"/>
          <w:szCs w:val="28"/>
        </w:rPr>
        <w:t xml:space="preserve">                        </w:t>
      </w:r>
      <w:r>
        <w:rPr>
          <w:rFonts w:ascii="仿宋" w:eastAsia="仿宋" w:hAnsi="仿宋" w:cs="仿宋"/>
          <w:sz w:val="28"/>
          <w:szCs w:val="28"/>
        </w:rPr>
        <w:t>单位：万元</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6"/>
        <w:gridCol w:w="2206"/>
        <w:gridCol w:w="1440"/>
        <w:gridCol w:w="1440"/>
        <w:gridCol w:w="1443"/>
        <w:gridCol w:w="1245"/>
      </w:tblGrid>
      <w:tr w:rsidR="00F57F0B">
        <w:trPr>
          <w:trHeight w:hRule="exact" w:val="454"/>
          <w:jc w:val="center"/>
        </w:trPr>
        <w:tc>
          <w:tcPr>
            <w:tcW w:w="736" w:type="dxa"/>
            <w:vMerge w:val="restart"/>
            <w:vAlign w:val="center"/>
          </w:tcPr>
          <w:p w:rsidR="00F57F0B" w:rsidRDefault="00325CD2">
            <w:pPr>
              <w:shd w:val="clear" w:color="auto" w:fill="FFFFFF"/>
              <w:jc w:val="center"/>
            </w:pPr>
            <w:r>
              <w:rPr>
                <w:rFonts w:cs="宋体"/>
                <w:b/>
                <w:bCs/>
                <w:sz w:val="22"/>
              </w:rPr>
              <w:t>行次</w:t>
            </w:r>
          </w:p>
        </w:tc>
        <w:tc>
          <w:tcPr>
            <w:tcW w:w="2206" w:type="dxa"/>
            <w:vAlign w:val="center"/>
          </w:tcPr>
          <w:p w:rsidR="00F57F0B" w:rsidRDefault="00325CD2">
            <w:pPr>
              <w:shd w:val="clear" w:color="auto" w:fill="FFFFFF"/>
              <w:jc w:val="center"/>
            </w:pPr>
            <w:r>
              <w:rPr>
                <w:rFonts w:cs="宋体"/>
                <w:b/>
                <w:bCs/>
                <w:sz w:val="22"/>
              </w:rPr>
              <w:t>项</w:t>
            </w:r>
            <w:r>
              <w:rPr>
                <w:rFonts w:hint="eastAsia"/>
                <w:b/>
                <w:bCs/>
                <w:sz w:val="22"/>
              </w:rPr>
              <w:t xml:space="preserve">   </w:t>
            </w:r>
            <w:r>
              <w:rPr>
                <w:rFonts w:cs="宋体"/>
                <w:b/>
                <w:bCs/>
                <w:sz w:val="22"/>
              </w:rPr>
              <w:t>目</w:t>
            </w:r>
          </w:p>
        </w:tc>
        <w:tc>
          <w:tcPr>
            <w:tcW w:w="1440" w:type="dxa"/>
            <w:vAlign w:val="center"/>
          </w:tcPr>
          <w:p w:rsidR="00F57F0B" w:rsidRDefault="00325CD2">
            <w:pPr>
              <w:shd w:val="clear" w:color="auto" w:fill="FFFFFF"/>
              <w:jc w:val="center"/>
            </w:pPr>
            <w:r>
              <w:rPr>
                <w:rFonts w:cs="宋体" w:hint="eastAsia"/>
                <w:b/>
                <w:bCs/>
                <w:sz w:val="22"/>
              </w:rPr>
              <w:t>上年末</w:t>
            </w:r>
            <w:r>
              <w:rPr>
                <w:rFonts w:cs="宋体"/>
                <w:b/>
                <w:bCs/>
                <w:sz w:val="22"/>
              </w:rPr>
              <w:t>余额</w:t>
            </w:r>
          </w:p>
        </w:tc>
        <w:tc>
          <w:tcPr>
            <w:tcW w:w="1440" w:type="dxa"/>
            <w:vAlign w:val="center"/>
          </w:tcPr>
          <w:p w:rsidR="00F57F0B" w:rsidRDefault="00325CD2">
            <w:pPr>
              <w:shd w:val="clear" w:color="auto" w:fill="FFFFFF"/>
              <w:jc w:val="center"/>
            </w:pPr>
            <w:r>
              <w:rPr>
                <w:rFonts w:cs="宋体" w:hint="eastAsia"/>
                <w:b/>
                <w:bCs/>
                <w:sz w:val="22"/>
              </w:rPr>
              <w:t>本</w:t>
            </w:r>
            <w:r>
              <w:rPr>
                <w:rFonts w:cs="宋体"/>
                <w:b/>
                <w:bCs/>
                <w:sz w:val="22"/>
              </w:rPr>
              <w:t>年末余额</w:t>
            </w:r>
          </w:p>
        </w:tc>
        <w:tc>
          <w:tcPr>
            <w:tcW w:w="1443" w:type="dxa"/>
            <w:vAlign w:val="center"/>
          </w:tcPr>
          <w:p w:rsidR="00F57F0B" w:rsidRDefault="00325CD2">
            <w:pPr>
              <w:shd w:val="clear" w:color="auto" w:fill="FFFFFF"/>
              <w:jc w:val="center"/>
            </w:pPr>
            <w:r>
              <w:rPr>
                <w:rFonts w:cs="宋体" w:hint="eastAsia"/>
                <w:b/>
                <w:bCs/>
                <w:sz w:val="22"/>
              </w:rPr>
              <w:t>增减</w:t>
            </w:r>
            <w:r>
              <w:rPr>
                <w:rFonts w:cs="宋体"/>
                <w:b/>
                <w:bCs/>
                <w:sz w:val="22"/>
              </w:rPr>
              <w:t>额</w:t>
            </w:r>
          </w:p>
        </w:tc>
        <w:tc>
          <w:tcPr>
            <w:tcW w:w="1245" w:type="dxa"/>
            <w:vAlign w:val="center"/>
          </w:tcPr>
          <w:p w:rsidR="00F57F0B" w:rsidRDefault="00325CD2">
            <w:pPr>
              <w:shd w:val="clear" w:color="auto" w:fill="FFFFFF"/>
              <w:jc w:val="center"/>
            </w:pPr>
            <w:r>
              <w:rPr>
                <w:rFonts w:cs="宋体" w:hint="eastAsia"/>
                <w:b/>
                <w:bCs/>
                <w:sz w:val="22"/>
              </w:rPr>
              <w:t>增减</w:t>
            </w:r>
            <w:r>
              <w:rPr>
                <w:rFonts w:cs="宋体"/>
                <w:b/>
                <w:bCs/>
                <w:sz w:val="22"/>
              </w:rPr>
              <w:t>率</w:t>
            </w:r>
          </w:p>
        </w:tc>
      </w:tr>
      <w:tr w:rsidR="00F57F0B">
        <w:trPr>
          <w:trHeight w:hRule="exact" w:val="454"/>
          <w:jc w:val="center"/>
        </w:trPr>
        <w:tc>
          <w:tcPr>
            <w:tcW w:w="736" w:type="dxa"/>
            <w:vMerge/>
            <w:vAlign w:val="center"/>
          </w:tcPr>
          <w:p w:rsidR="00F57F0B" w:rsidRDefault="00F57F0B">
            <w:pPr>
              <w:jc w:val="center"/>
            </w:pPr>
          </w:p>
        </w:tc>
        <w:tc>
          <w:tcPr>
            <w:tcW w:w="2206" w:type="dxa"/>
            <w:vAlign w:val="center"/>
          </w:tcPr>
          <w:p w:rsidR="00F57F0B" w:rsidRDefault="00325CD2">
            <w:pPr>
              <w:shd w:val="clear" w:color="auto" w:fill="FFFFFF"/>
              <w:jc w:val="center"/>
            </w:pPr>
            <w:r>
              <w:rPr>
                <w:rFonts w:cs="宋体"/>
                <w:b/>
                <w:bCs/>
                <w:sz w:val="22"/>
              </w:rPr>
              <w:t>栏</w:t>
            </w:r>
            <w:r>
              <w:rPr>
                <w:rFonts w:hint="eastAsia"/>
                <w:b/>
                <w:bCs/>
                <w:sz w:val="22"/>
              </w:rPr>
              <w:t xml:space="preserve">    </w:t>
            </w:r>
            <w:r>
              <w:rPr>
                <w:rFonts w:cs="宋体"/>
                <w:b/>
                <w:bCs/>
                <w:sz w:val="22"/>
              </w:rPr>
              <w:t>次</w:t>
            </w:r>
          </w:p>
        </w:tc>
        <w:tc>
          <w:tcPr>
            <w:tcW w:w="1440" w:type="dxa"/>
            <w:vAlign w:val="center"/>
          </w:tcPr>
          <w:p w:rsidR="00F57F0B" w:rsidRDefault="00325CD2">
            <w:pPr>
              <w:shd w:val="clear" w:color="auto" w:fill="FFFFFF"/>
              <w:jc w:val="center"/>
            </w:pPr>
            <w:r>
              <w:rPr>
                <w:b/>
                <w:bCs/>
                <w:sz w:val="22"/>
              </w:rPr>
              <w:t>1</w:t>
            </w:r>
          </w:p>
        </w:tc>
        <w:tc>
          <w:tcPr>
            <w:tcW w:w="1440" w:type="dxa"/>
            <w:vAlign w:val="center"/>
          </w:tcPr>
          <w:p w:rsidR="00F57F0B" w:rsidRDefault="00325CD2">
            <w:pPr>
              <w:shd w:val="clear" w:color="auto" w:fill="FFFFFF"/>
              <w:jc w:val="center"/>
            </w:pPr>
            <w:r>
              <w:rPr>
                <w:b/>
                <w:bCs/>
                <w:sz w:val="22"/>
              </w:rPr>
              <w:t>2</w:t>
            </w:r>
          </w:p>
        </w:tc>
        <w:tc>
          <w:tcPr>
            <w:tcW w:w="1443" w:type="dxa"/>
            <w:vAlign w:val="center"/>
          </w:tcPr>
          <w:p w:rsidR="00F57F0B" w:rsidRDefault="00325CD2">
            <w:pPr>
              <w:shd w:val="clear" w:color="auto" w:fill="FFFFFF"/>
              <w:jc w:val="center"/>
            </w:pPr>
            <w:r>
              <w:rPr>
                <w:b/>
                <w:bCs/>
                <w:sz w:val="22"/>
              </w:rPr>
              <w:t>3</w:t>
            </w:r>
          </w:p>
        </w:tc>
        <w:tc>
          <w:tcPr>
            <w:tcW w:w="1245" w:type="dxa"/>
            <w:vAlign w:val="center"/>
          </w:tcPr>
          <w:p w:rsidR="00F57F0B" w:rsidRDefault="00325CD2">
            <w:pPr>
              <w:shd w:val="clear" w:color="auto" w:fill="FFFFFF"/>
              <w:jc w:val="center"/>
            </w:pPr>
            <w:r>
              <w:rPr>
                <w:b/>
                <w:bCs/>
                <w:sz w:val="22"/>
              </w:rPr>
              <w:t>4</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1</w:t>
            </w:r>
          </w:p>
        </w:tc>
        <w:tc>
          <w:tcPr>
            <w:tcW w:w="2206" w:type="dxa"/>
            <w:vAlign w:val="center"/>
          </w:tcPr>
          <w:p w:rsidR="00F57F0B" w:rsidRDefault="00325CD2">
            <w:pPr>
              <w:shd w:val="clear" w:color="auto" w:fill="FFFFFF"/>
            </w:pPr>
            <w:r>
              <w:rPr>
                <w:rFonts w:cs="宋体"/>
                <w:sz w:val="22"/>
              </w:rPr>
              <w:t>流动资产</w:t>
            </w:r>
          </w:p>
        </w:tc>
        <w:tc>
          <w:tcPr>
            <w:tcW w:w="1440" w:type="dxa"/>
            <w:vAlign w:val="center"/>
          </w:tcPr>
          <w:p w:rsidR="00F57F0B" w:rsidRDefault="00325CD2">
            <w:pPr>
              <w:shd w:val="clear" w:color="auto" w:fill="FFFFFF"/>
              <w:jc w:val="right"/>
            </w:pPr>
            <w:r>
              <w:rPr>
                <w:sz w:val="22"/>
              </w:rPr>
              <w:t>181,</w:t>
            </w:r>
            <w:r>
              <w:rPr>
                <w:rFonts w:hint="eastAsia"/>
                <w:sz w:val="22"/>
              </w:rPr>
              <w:t>448.30</w:t>
            </w:r>
          </w:p>
        </w:tc>
        <w:tc>
          <w:tcPr>
            <w:tcW w:w="1440" w:type="dxa"/>
            <w:vAlign w:val="center"/>
          </w:tcPr>
          <w:p w:rsidR="00F57F0B" w:rsidRDefault="00325CD2">
            <w:pPr>
              <w:shd w:val="clear" w:color="auto" w:fill="FFFFFF"/>
              <w:jc w:val="right"/>
            </w:pPr>
            <w:r>
              <w:rPr>
                <w:rFonts w:hint="eastAsia"/>
                <w:sz w:val="22"/>
              </w:rPr>
              <w:t>190,107.95</w:t>
            </w:r>
          </w:p>
        </w:tc>
        <w:tc>
          <w:tcPr>
            <w:tcW w:w="1443" w:type="dxa"/>
            <w:vAlign w:val="center"/>
          </w:tcPr>
          <w:p w:rsidR="00F57F0B" w:rsidRDefault="00325CD2">
            <w:pPr>
              <w:shd w:val="clear" w:color="auto" w:fill="FFFFFF"/>
              <w:jc w:val="right"/>
            </w:pPr>
            <w:r>
              <w:rPr>
                <w:rFonts w:hint="eastAsia"/>
                <w:sz w:val="22"/>
              </w:rPr>
              <w:t>8,659.65</w:t>
            </w:r>
          </w:p>
        </w:tc>
        <w:tc>
          <w:tcPr>
            <w:tcW w:w="1245" w:type="dxa"/>
            <w:vAlign w:val="center"/>
          </w:tcPr>
          <w:p w:rsidR="00F57F0B" w:rsidRDefault="00325CD2">
            <w:pPr>
              <w:shd w:val="clear" w:color="auto" w:fill="FFFFFF"/>
              <w:jc w:val="right"/>
            </w:pPr>
            <w:r>
              <w:rPr>
                <w:sz w:val="22"/>
              </w:rPr>
              <w:t>4.</w:t>
            </w:r>
            <w:r>
              <w:rPr>
                <w:rFonts w:hint="eastAsia"/>
                <w:sz w:val="22"/>
              </w:rPr>
              <w:t>7</w:t>
            </w:r>
            <w:r>
              <w:rPr>
                <w:sz w:val="22"/>
              </w:rPr>
              <w:t>7%</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2</w:t>
            </w:r>
          </w:p>
        </w:tc>
        <w:tc>
          <w:tcPr>
            <w:tcW w:w="2206" w:type="dxa"/>
            <w:vAlign w:val="center"/>
          </w:tcPr>
          <w:p w:rsidR="00F57F0B" w:rsidRDefault="00325CD2">
            <w:pPr>
              <w:shd w:val="clear" w:color="auto" w:fill="FFFFFF"/>
            </w:pPr>
            <w:r>
              <w:rPr>
                <w:rFonts w:cs="宋体"/>
                <w:sz w:val="22"/>
              </w:rPr>
              <w:t>非流动资产</w:t>
            </w:r>
          </w:p>
        </w:tc>
        <w:tc>
          <w:tcPr>
            <w:tcW w:w="1440" w:type="dxa"/>
            <w:vAlign w:val="center"/>
          </w:tcPr>
          <w:p w:rsidR="00F57F0B" w:rsidRDefault="00325CD2">
            <w:pPr>
              <w:shd w:val="clear" w:color="auto" w:fill="FFFFFF"/>
              <w:jc w:val="right"/>
            </w:pPr>
            <w:r>
              <w:rPr>
                <w:sz w:val="22"/>
              </w:rPr>
              <w:t>297,</w:t>
            </w:r>
            <w:r>
              <w:rPr>
                <w:rFonts w:hint="eastAsia"/>
                <w:sz w:val="22"/>
              </w:rPr>
              <w:t>639.95</w:t>
            </w:r>
          </w:p>
        </w:tc>
        <w:tc>
          <w:tcPr>
            <w:tcW w:w="1440" w:type="dxa"/>
            <w:vAlign w:val="center"/>
          </w:tcPr>
          <w:p w:rsidR="00F57F0B" w:rsidRDefault="00325CD2">
            <w:pPr>
              <w:shd w:val="clear" w:color="auto" w:fill="FFFFFF"/>
              <w:jc w:val="right"/>
            </w:pPr>
            <w:r>
              <w:rPr>
                <w:rFonts w:hint="eastAsia"/>
                <w:sz w:val="22"/>
              </w:rPr>
              <w:t>316,939.80</w:t>
            </w:r>
          </w:p>
        </w:tc>
        <w:tc>
          <w:tcPr>
            <w:tcW w:w="1443" w:type="dxa"/>
            <w:vAlign w:val="center"/>
          </w:tcPr>
          <w:p w:rsidR="00F57F0B" w:rsidRDefault="00325CD2">
            <w:pPr>
              <w:shd w:val="clear" w:color="auto" w:fill="FFFFFF"/>
              <w:jc w:val="right"/>
            </w:pPr>
            <w:r>
              <w:rPr>
                <w:rFonts w:hint="eastAsia"/>
                <w:sz w:val="22"/>
              </w:rPr>
              <w:t>19,299.85</w:t>
            </w:r>
          </w:p>
        </w:tc>
        <w:tc>
          <w:tcPr>
            <w:tcW w:w="1245" w:type="dxa"/>
            <w:vAlign w:val="center"/>
          </w:tcPr>
          <w:p w:rsidR="00F57F0B" w:rsidRDefault="00325CD2">
            <w:pPr>
              <w:shd w:val="clear" w:color="auto" w:fill="FFFFFF"/>
              <w:jc w:val="right"/>
            </w:pPr>
            <w:r>
              <w:rPr>
                <w:sz w:val="22"/>
              </w:rPr>
              <w:t>6.</w:t>
            </w:r>
            <w:r>
              <w:rPr>
                <w:rFonts w:hint="eastAsia"/>
                <w:sz w:val="22"/>
              </w:rPr>
              <w:t>48</w:t>
            </w:r>
            <w:r>
              <w:rPr>
                <w:sz w:val="22"/>
              </w:rPr>
              <w:t>%</w:t>
            </w:r>
          </w:p>
        </w:tc>
      </w:tr>
      <w:tr w:rsidR="00F57F0B">
        <w:trPr>
          <w:trHeight w:hRule="exact" w:val="454"/>
          <w:jc w:val="center"/>
        </w:trPr>
        <w:tc>
          <w:tcPr>
            <w:tcW w:w="736" w:type="dxa"/>
            <w:vAlign w:val="center"/>
          </w:tcPr>
          <w:p w:rsidR="00F57F0B" w:rsidRDefault="00325CD2">
            <w:pPr>
              <w:shd w:val="clear" w:color="auto" w:fill="FFFFFF"/>
              <w:jc w:val="center"/>
            </w:pPr>
            <w:r>
              <w:rPr>
                <w:sz w:val="22"/>
              </w:rPr>
              <w:t>3</w:t>
            </w:r>
          </w:p>
        </w:tc>
        <w:tc>
          <w:tcPr>
            <w:tcW w:w="2206" w:type="dxa"/>
            <w:vAlign w:val="center"/>
          </w:tcPr>
          <w:p w:rsidR="00F57F0B" w:rsidRDefault="00325CD2">
            <w:pPr>
              <w:shd w:val="clear" w:color="auto" w:fill="FFFFFF"/>
            </w:pPr>
            <w:r>
              <w:rPr>
                <w:rFonts w:cs="宋体"/>
                <w:sz w:val="22"/>
              </w:rPr>
              <w:t>受托代理资产</w:t>
            </w:r>
          </w:p>
        </w:tc>
        <w:tc>
          <w:tcPr>
            <w:tcW w:w="1440" w:type="dxa"/>
            <w:vAlign w:val="center"/>
          </w:tcPr>
          <w:p w:rsidR="00F57F0B" w:rsidRDefault="00325CD2">
            <w:pPr>
              <w:shd w:val="clear" w:color="auto" w:fill="FFFFFF"/>
              <w:jc w:val="right"/>
            </w:pPr>
            <w:r>
              <w:rPr>
                <w:sz w:val="22"/>
              </w:rPr>
              <w:t>787.74</w:t>
            </w:r>
          </w:p>
        </w:tc>
        <w:tc>
          <w:tcPr>
            <w:tcW w:w="1440" w:type="dxa"/>
            <w:vAlign w:val="center"/>
          </w:tcPr>
          <w:p w:rsidR="00F57F0B" w:rsidRDefault="00325CD2">
            <w:pPr>
              <w:shd w:val="clear" w:color="auto" w:fill="FFFFFF"/>
              <w:jc w:val="right"/>
            </w:pPr>
            <w:r>
              <w:rPr>
                <w:sz w:val="22"/>
              </w:rPr>
              <w:t>655.19</w:t>
            </w:r>
          </w:p>
        </w:tc>
        <w:tc>
          <w:tcPr>
            <w:tcW w:w="1443" w:type="dxa"/>
            <w:vAlign w:val="center"/>
          </w:tcPr>
          <w:p w:rsidR="00F57F0B" w:rsidRDefault="00325CD2">
            <w:pPr>
              <w:shd w:val="clear" w:color="auto" w:fill="FFFFFF"/>
              <w:jc w:val="right"/>
            </w:pPr>
            <w:r>
              <w:rPr>
                <w:sz w:val="22"/>
              </w:rPr>
              <w:t>-132.55</w:t>
            </w:r>
          </w:p>
        </w:tc>
        <w:tc>
          <w:tcPr>
            <w:tcW w:w="1245" w:type="dxa"/>
            <w:vAlign w:val="center"/>
          </w:tcPr>
          <w:p w:rsidR="00F57F0B" w:rsidRDefault="00325CD2">
            <w:pPr>
              <w:shd w:val="clear" w:color="auto" w:fill="FFFFFF"/>
              <w:jc w:val="right"/>
            </w:pPr>
            <w:r>
              <w:rPr>
                <w:sz w:val="22"/>
              </w:rPr>
              <w:t>-16.83%</w:t>
            </w:r>
          </w:p>
        </w:tc>
      </w:tr>
      <w:tr w:rsidR="00F57F0B">
        <w:trPr>
          <w:trHeight w:hRule="exact" w:val="454"/>
          <w:jc w:val="center"/>
        </w:trPr>
        <w:tc>
          <w:tcPr>
            <w:tcW w:w="2942" w:type="dxa"/>
            <w:gridSpan w:val="2"/>
            <w:vAlign w:val="center"/>
          </w:tcPr>
          <w:p w:rsidR="00F57F0B" w:rsidRDefault="00325CD2">
            <w:pPr>
              <w:shd w:val="clear" w:color="auto" w:fill="FFFFFF"/>
              <w:jc w:val="center"/>
            </w:pPr>
            <w:r>
              <w:rPr>
                <w:rFonts w:cs="宋体"/>
                <w:b/>
                <w:bCs/>
                <w:sz w:val="22"/>
              </w:rPr>
              <w:t>资产总计</w:t>
            </w:r>
          </w:p>
        </w:tc>
        <w:tc>
          <w:tcPr>
            <w:tcW w:w="1440" w:type="dxa"/>
            <w:vAlign w:val="center"/>
          </w:tcPr>
          <w:p w:rsidR="00F57F0B" w:rsidRDefault="00325CD2">
            <w:pPr>
              <w:shd w:val="clear" w:color="auto" w:fill="FFFFFF"/>
              <w:jc w:val="right"/>
            </w:pPr>
            <w:r>
              <w:rPr>
                <w:b/>
                <w:bCs/>
                <w:sz w:val="22"/>
              </w:rPr>
              <w:t>479,875.99</w:t>
            </w:r>
          </w:p>
        </w:tc>
        <w:tc>
          <w:tcPr>
            <w:tcW w:w="1440" w:type="dxa"/>
            <w:vAlign w:val="center"/>
          </w:tcPr>
          <w:p w:rsidR="00F57F0B" w:rsidRDefault="00325CD2">
            <w:pPr>
              <w:shd w:val="clear" w:color="auto" w:fill="FFFFFF"/>
              <w:jc w:val="right"/>
            </w:pPr>
            <w:r>
              <w:rPr>
                <w:b/>
                <w:bCs/>
                <w:sz w:val="22"/>
              </w:rPr>
              <w:t>507,702.94</w:t>
            </w:r>
          </w:p>
        </w:tc>
        <w:tc>
          <w:tcPr>
            <w:tcW w:w="1443" w:type="dxa"/>
            <w:vAlign w:val="center"/>
          </w:tcPr>
          <w:p w:rsidR="00F57F0B" w:rsidRDefault="00325CD2">
            <w:pPr>
              <w:shd w:val="clear" w:color="auto" w:fill="FFFFFF"/>
              <w:jc w:val="right"/>
            </w:pPr>
            <w:r>
              <w:rPr>
                <w:b/>
                <w:bCs/>
                <w:sz w:val="22"/>
              </w:rPr>
              <w:t>27,826.95</w:t>
            </w:r>
          </w:p>
        </w:tc>
        <w:tc>
          <w:tcPr>
            <w:tcW w:w="1245" w:type="dxa"/>
            <w:vAlign w:val="center"/>
          </w:tcPr>
          <w:p w:rsidR="00F57F0B" w:rsidRDefault="00325CD2">
            <w:pPr>
              <w:shd w:val="clear" w:color="auto" w:fill="FFFFFF"/>
              <w:jc w:val="right"/>
            </w:pPr>
            <w:r>
              <w:rPr>
                <w:b/>
                <w:bCs/>
                <w:sz w:val="22"/>
              </w:rPr>
              <w:t>5.80%</w:t>
            </w:r>
          </w:p>
        </w:tc>
      </w:tr>
    </w:tbl>
    <w:p w:rsidR="00F57F0B" w:rsidRDefault="00325CD2">
      <w:pPr>
        <w:spacing w:beforeLines="50" w:before="156" w:line="600" w:lineRule="exact"/>
        <w:ind w:firstLineChars="200" w:firstLine="640"/>
        <w:rPr>
          <w:rFonts w:ascii="仿宋_GB2312" w:eastAsia="仿宋_GB2312"/>
          <w:sz w:val="32"/>
          <w:szCs w:val="32"/>
        </w:rPr>
      </w:pPr>
      <w:r>
        <w:rPr>
          <w:rFonts w:ascii="黑体" w:eastAsia="黑体" w:hAnsi="黑体" w:cs="黑体" w:hint="eastAsia"/>
          <w:sz w:val="32"/>
          <w:szCs w:val="32"/>
        </w:rPr>
        <w:t>（一）流动资产构成及变动情况</w:t>
      </w:r>
    </w:p>
    <w:p w:rsidR="00F57F0B" w:rsidRDefault="00325CD2">
      <w:pPr>
        <w:spacing w:beforeLines="50" w:before="156" w:line="600" w:lineRule="exact"/>
        <w:ind w:firstLineChars="200" w:firstLine="640"/>
        <w:rPr>
          <w:rFonts w:ascii="仿宋_GB2312" w:eastAsia="仿宋_GB2312"/>
          <w:sz w:val="32"/>
          <w:szCs w:val="32"/>
        </w:rPr>
      </w:pPr>
      <w:r>
        <w:rPr>
          <w:rFonts w:ascii="仿宋_GB2312" w:eastAsia="仿宋_GB2312" w:hint="eastAsia"/>
          <w:sz w:val="32"/>
          <w:szCs w:val="32"/>
        </w:rPr>
        <w:t>2020年12月31日，流动资产合计 19.01亿元，占总资产的 37.45%，其中：货币资金16.72亿元，占87.97%；财政应返还额度0.52亿元，占2.74%；应收款项（含应收账款和其他应收款）1.70亿元，占8.94%；预付款项331.23万元，占流动资产的0.17%；存货338万元，占0.18%。流动资产构成结构如图2所示：</w:t>
      </w:r>
    </w:p>
    <w:p w:rsidR="00F57F0B" w:rsidRDefault="00325CD2">
      <w:pPr>
        <w:spacing w:beforeLines="50" w:before="156" w:line="600" w:lineRule="exact"/>
        <w:ind w:firstLineChars="200" w:firstLine="420"/>
        <w:rPr>
          <w:rFonts w:ascii="仿宋_GB2312" w:eastAsia="仿宋_GB2312"/>
          <w:sz w:val="32"/>
          <w:szCs w:val="32"/>
        </w:rPr>
      </w:pPr>
      <w:r>
        <w:rPr>
          <w:noProof/>
        </w:rPr>
        <w:drawing>
          <wp:anchor distT="0" distB="0" distL="114300" distR="114300" simplePos="0" relativeHeight="251659264" behindDoc="0" locked="0" layoutInCell="1" allowOverlap="1">
            <wp:simplePos x="0" y="0"/>
            <wp:positionH relativeFrom="column">
              <wp:posOffset>640080</wp:posOffset>
            </wp:positionH>
            <wp:positionV relativeFrom="paragraph">
              <wp:posOffset>170180</wp:posOffset>
            </wp:positionV>
            <wp:extent cx="4750435" cy="2797175"/>
            <wp:effectExtent l="0" t="0" r="12065" b="3175"/>
            <wp:wrapSquare wrapText="bothSides"/>
            <wp:docPr id="3" name="图表 1"/>
            <wp:cNvGraphicFramePr/>
            <a:graphic xmlns:a="http://schemas.openxmlformats.org/drawingml/2006/main">
              <a:graphicData uri="http://schemas.openxmlformats.org/drawingml/2006/picture">
                <pic:pic xmlns:pic="http://schemas.openxmlformats.org/drawingml/2006/picture">
                  <pic:nvPicPr>
                    <pic:cNvPr id="3" name="图表 1"/>
                    <pic:cNvPicPr/>
                  </pic:nvPicPr>
                  <pic:blipFill>
                    <a:blip r:embed="rId9"/>
                    <a:stretch>
                      <a:fillRect/>
                    </a:stretch>
                  </pic:blipFill>
                  <pic:spPr>
                    <a:xfrm>
                      <a:off x="0" y="0"/>
                      <a:ext cx="4750435" cy="2797175"/>
                    </a:xfrm>
                    <a:prstGeom prst="rect">
                      <a:avLst/>
                    </a:prstGeom>
                    <a:noFill/>
                    <a:ln>
                      <a:noFill/>
                    </a:ln>
                  </pic:spPr>
                </pic:pic>
              </a:graphicData>
            </a:graphic>
          </wp:anchor>
        </w:drawing>
      </w:r>
    </w:p>
    <w:p w:rsidR="00F57F0B" w:rsidRDefault="00F57F0B">
      <w:pPr>
        <w:spacing w:line="600" w:lineRule="exact"/>
        <w:rPr>
          <w:rFonts w:ascii="仿宋_GB2312" w:eastAsia="仿宋_GB2312"/>
          <w:sz w:val="32"/>
          <w:szCs w:val="32"/>
        </w:rPr>
      </w:pPr>
    </w:p>
    <w:p w:rsidR="00F57F0B" w:rsidRDefault="00F57F0B">
      <w:pPr>
        <w:spacing w:line="600" w:lineRule="exact"/>
        <w:rPr>
          <w:rFonts w:ascii="仿宋_GB2312" w:eastAsia="仿宋_GB2312"/>
          <w:sz w:val="32"/>
          <w:szCs w:val="32"/>
        </w:rPr>
      </w:pPr>
    </w:p>
    <w:p w:rsidR="00F57F0B" w:rsidRDefault="00F57F0B">
      <w:pPr>
        <w:spacing w:line="600" w:lineRule="exact"/>
        <w:rPr>
          <w:rFonts w:ascii="仿宋_GB2312" w:eastAsia="仿宋_GB2312"/>
          <w:sz w:val="32"/>
          <w:szCs w:val="32"/>
        </w:rPr>
      </w:pPr>
    </w:p>
    <w:p w:rsidR="00F57F0B" w:rsidRDefault="00F57F0B">
      <w:pPr>
        <w:spacing w:line="600" w:lineRule="exact"/>
        <w:rPr>
          <w:rFonts w:ascii="仿宋_GB2312" w:eastAsia="仿宋_GB2312"/>
          <w:sz w:val="32"/>
          <w:szCs w:val="32"/>
        </w:rPr>
      </w:pPr>
    </w:p>
    <w:p w:rsidR="00F57F0B" w:rsidRDefault="00F57F0B">
      <w:pPr>
        <w:spacing w:line="600" w:lineRule="exact"/>
        <w:ind w:firstLineChars="100" w:firstLine="321"/>
        <w:rPr>
          <w:rFonts w:ascii="仿宋_GB2312" w:eastAsia="仿宋_GB2312"/>
          <w:b/>
          <w:bCs/>
          <w:sz w:val="32"/>
          <w:szCs w:val="32"/>
        </w:rPr>
      </w:pPr>
    </w:p>
    <w:p w:rsidR="00F57F0B" w:rsidRDefault="00F57F0B">
      <w:pPr>
        <w:spacing w:line="600" w:lineRule="exact"/>
        <w:ind w:firstLineChars="100" w:firstLine="320"/>
        <w:rPr>
          <w:rFonts w:ascii="仿宋_GB2312" w:eastAsia="仿宋_GB2312"/>
          <w:sz w:val="32"/>
          <w:szCs w:val="32"/>
        </w:rPr>
      </w:pPr>
    </w:p>
    <w:p w:rsidR="00F57F0B" w:rsidRDefault="00325CD2">
      <w:pPr>
        <w:spacing w:line="600" w:lineRule="exact"/>
        <w:ind w:firstLineChars="100" w:firstLine="320"/>
        <w:rPr>
          <w:rFonts w:ascii="仿宋_GB2312" w:eastAsia="仿宋_GB2312"/>
          <w:sz w:val="32"/>
          <w:szCs w:val="32"/>
        </w:rPr>
      </w:pPr>
      <w:r>
        <w:rPr>
          <w:rFonts w:ascii="仿宋_GB2312" w:eastAsia="仿宋_GB2312" w:hint="eastAsia"/>
          <w:sz w:val="32"/>
          <w:szCs w:val="32"/>
        </w:rPr>
        <w:lastRenderedPageBreak/>
        <w:t>较上年增加8,659.65万元，增长了4.77%，变动情况详见表2。其中：</w:t>
      </w:r>
    </w:p>
    <w:p w:rsidR="00F57F0B" w:rsidRDefault="00325CD2">
      <w:pPr>
        <w:spacing w:line="600" w:lineRule="exact"/>
        <w:ind w:firstLineChars="100" w:firstLine="321"/>
        <w:rPr>
          <w:rFonts w:ascii="仿宋_GB2312" w:eastAsia="仿宋_GB2312"/>
          <w:b/>
          <w:bCs/>
          <w:sz w:val="32"/>
          <w:szCs w:val="32"/>
        </w:rPr>
      </w:pPr>
      <w:r>
        <w:rPr>
          <w:rFonts w:ascii="仿宋_GB2312" w:eastAsia="仿宋_GB2312" w:hint="eastAsia"/>
          <w:b/>
          <w:bCs/>
          <w:sz w:val="32"/>
          <w:szCs w:val="32"/>
        </w:rPr>
        <w:t>表2             2020年流动资产变动情况表</w:t>
      </w:r>
    </w:p>
    <w:p w:rsidR="00F57F0B" w:rsidRDefault="00325CD2">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28"/>
          <w:szCs w:val="28"/>
        </w:rPr>
        <w:t>单位：万元</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6"/>
        <w:gridCol w:w="2455"/>
        <w:gridCol w:w="1490"/>
        <w:gridCol w:w="1490"/>
        <w:gridCol w:w="1308"/>
        <w:gridCol w:w="1230"/>
      </w:tblGrid>
      <w:tr w:rsidR="00F57F0B">
        <w:trPr>
          <w:trHeight w:hRule="exact" w:val="454"/>
          <w:jc w:val="center"/>
        </w:trPr>
        <w:tc>
          <w:tcPr>
            <w:tcW w:w="736" w:type="dxa"/>
            <w:vMerge w:val="restart"/>
            <w:vAlign w:val="center"/>
          </w:tcPr>
          <w:p w:rsidR="00F57F0B" w:rsidRDefault="00325CD2">
            <w:pPr>
              <w:shd w:val="clear" w:color="auto" w:fill="FFFFFF"/>
              <w:jc w:val="center"/>
            </w:pPr>
            <w:r>
              <w:rPr>
                <w:rFonts w:cs="宋体"/>
                <w:b/>
                <w:bCs/>
                <w:sz w:val="22"/>
              </w:rPr>
              <w:t>行次</w:t>
            </w:r>
          </w:p>
        </w:tc>
        <w:tc>
          <w:tcPr>
            <w:tcW w:w="2455" w:type="dxa"/>
            <w:vAlign w:val="center"/>
          </w:tcPr>
          <w:p w:rsidR="00F57F0B" w:rsidRDefault="00325CD2">
            <w:pPr>
              <w:shd w:val="clear" w:color="auto" w:fill="FFFFFF"/>
              <w:jc w:val="center"/>
            </w:pPr>
            <w:r>
              <w:rPr>
                <w:rFonts w:cs="宋体"/>
                <w:b/>
                <w:bCs/>
                <w:sz w:val="22"/>
              </w:rPr>
              <w:t>项</w:t>
            </w:r>
            <w:r>
              <w:rPr>
                <w:rFonts w:hint="eastAsia"/>
                <w:b/>
                <w:bCs/>
                <w:sz w:val="22"/>
              </w:rPr>
              <w:t xml:space="preserve">   </w:t>
            </w:r>
            <w:r>
              <w:rPr>
                <w:rFonts w:cs="宋体"/>
                <w:b/>
                <w:bCs/>
                <w:sz w:val="22"/>
              </w:rPr>
              <w:t>目</w:t>
            </w:r>
          </w:p>
        </w:tc>
        <w:tc>
          <w:tcPr>
            <w:tcW w:w="1490" w:type="dxa"/>
            <w:vAlign w:val="center"/>
          </w:tcPr>
          <w:p w:rsidR="00F57F0B" w:rsidRDefault="00325CD2">
            <w:pPr>
              <w:shd w:val="clear" w:color="auto" w:fill="FFFFFF"/>
              <w:jc w:val="center"/>
            </w:pPr>
            <w:r>
              <w:rPr>
                <w:rFonts w:cs="宋体" w:hint="eastAsia"/>
                <w:b/>
                <w:bCs/>
                <w:sz w:val="22"/>
              </w:rPr>
              <w:t>上年末</w:t>
            </w:r>
            <w:r>
              <w:rPr>
                <w:rFonts w:cs="宋体"/>
                <w:b/>
                <w:bCs/>
                <w:sz w:val="22"/>
              </w:rPr>
              <w:t>余额</w:t>
            </w:r>
          </w:p>
        </w:tc>
        <w:tc>
          <w:tcPr>
            <w:tcW w:w="1490" w:type="dxa"/>
            <w:vAlign w:val="center"/>
          </w:tcPr>
          <w:p w:rsidR="00F57F0B" w:rsidRDefault="00325CD2">
            <w:pPr>
              <w:shd w:val="clear" w:color="auto" w:fill="FFFFFF"/>
              <w:jc w:val="center"/>
            </w:pPr>
            <w:r>
              <w:rPr>
                <w:rFonts w:cs="宋体" w:hint="eastAsia"/>
                <w:b/>
                <w:bCs/>
                <w:sz w:val="22"/>
              </w:rPr>
              <w:t>本</w:t>
            </w:r>
            <w:r>
              <w:rPr>
                <w:rFonts w:cs="宋体"/>
                <w:b/>
                <w:bCs/>
                <w:sz w:val="22"/>
              </w:rPr>
              <w:t>年末余额</w:t>
            </w:r>
          </w:p>
        </w:tc>
        <w:tc>
          <w:tcPr>
            <w:tcW w:w="1308" w:type="dxa"/>
            <w:vAlign w:val="center"/>
          </w:tcPr>
          <w:p w:rsidR="00F57F0B" w:rsidRDefault="00325CD2">
            <w:pPr>
              <w:shd w:val="clear" w:color="auto" w:fill="FFFFFF"/>
              <w:jc w:val="center"/>
            </w:pPr>
            <w:r>
              <w:rPr>
                <w:rFonts w:cs="宋体" w:hint="eastAsia"/>
                <w:b/>
                <w:bCs/>
                <w:sz w:val="22"/>
              </w:rPr>
              <w:t>增减</w:t>
            </w:r>
            <w:r>
              <w:rPr>
                <w:rFonts w:cs="宋体"/>
                <w:b/>
                <w:bCs/>
                <w:sz w:val="22"/>
              </w:rPr>
              <w:t>额</w:t>
            </w:r>
          </w:p>
        </w:tc>
        <w:tc>
          <w:tcPr>
            <w:tcW w:w="1230" w:type="dxa"/>
            <w:vAlign w:val="center"/>
          </w:tcPr>
          <w:p w:rsidR="00F57F0B" w:rsidRDefault="00325CD2">
            <w:pPr>
              <w:shd w:val="clear" w:color="auto" w:fill="FFFFFF"/>
              <w:jc w:val="center"/>
            </w:pPr>
            <w:r>
              <w:rPr>
                <w:rFonts w:cs="宋体" w:hint="eastAsia"/>
                <w:b/>
                <w:bCs/>
                <w:sz w:val="22"/>
              </w:rPr>
              <w:t>增减</w:t>
            </w:r>
            <w:r>
              <w:rPr>
                <w:rFonts w:cs="宋体"/>
                <w:b/>
                <w:bCs/>
                <w:sz w:val="22"/>
              </w:rPr>
              <w:t>率</w:t>
            </w:r>
          </w:p>
        </w:tc>
      </w:tr>
      <w:tr w:rsidR="00F57F0B">
        <w:trPr>
          <w:trHeight w:hRule="exact" w:val="454"/>
          <w:jc w:val="center"/>
        </w:trPr>
        <w:tc>
          <w:tcPr>
            <w:tcW w:w="736" w:type="dxa"/>
            <w:vMerge/>
            <w:vAlign w:val="center"/>
          </w:tcPr>
          <w:p w:rsidR="00F57F0B" w:rsidRDefault="00F57F0B">
            <w:pPr>
              <w:jc w:val="center"/>
            </w:pPr>
          </w:p>
        </w:tc>
        <w:tc>
          <w:tcPr>
            <w:tcW w:w="2455" w:type="dxa"/>
            <w:vAlign w:val="center"/>
          </w:tcPr>
          <w:p w:rsidR="00F57F0B" w:rsidRDefault="00325CD2">
            <w:pPr>
              <w:shd w:val="clear" w:color="auto" w:fill="FFFFFF"/>
              <w:jc w:val="center"/>
            </w:pPr>
            <w:r>
              <w:rPr>
                <w:rFonts w:cs="宋体"/>
                <w:b/>
                <w:bCs/>
                <w:sz w:val="22"/>
              </w:rPr>
              <w:t>栏</w:t>
            </w:r>
            <w:r>
              <w:rPr>
                <w:rFonts w:hint="eastAsia"/>
                <w:b/>
                <w:bCs/>
                <w:sz w:val="22"/>
              </w:rPr>
              <w:t xml:space="preserve">    </w:t>
            </w:r>
            <w:r>
              <w:rPr>
                <w:rFonts w:cs="宋体"/>
                <w:b/>
                <w:bCs/>
                <w:sz w:val="22"/>
              </w:rPr>
              <w:t>次</w:t>
            </w:r>
          </w:p>
        </w:tc>
        <w:tc>
          <w:tcPr>
            <w:tcW w:w="1490" w:type="dxa"/>
            <w:vAlign w:val="center"/>
          </w:tcPr>
          <w:p w:rsidR="00F57F0B" w:rsidRDefault="00325CD2">
            <w:pPr>
              <w:shd w:val="clear" w:color="auto" w:fill="FFFFFF"/>
              <w:jc w:val="center"/>
            </w:pPr>
            <w:r>
              <w:rPr>
                <w:b/>
                <w:bCs/>
                <w:sz w:val="22"/>
              </w:rPr>
              <w:t>1</w:t>
            </w:r>
          </w:p>
        </w:tc>
        <w:tc>
          <w:tcPr>
            <w:tcW w:w="1490" w:type="dxa"/>
            <w:vAlign w:val="center"/>
          </w:tcPr>
          <w:p w:rsidR="00F57F0B" w:rsidRDefault="00325CD2">
            <w:pPr>
              <w:shd w:val="clear" w:color="auto" w:fill="FFFFFF"/>
              <w:jc w:val="center"/>
            </w:pPr>
            <w:r>
              <w:rPr>
                <w:b/>
                <w:bCs/>
                <w:sz w:val="22"/>
              </w:rPr>
              <w:t>2</w:t>
            </w:r>
          </w:p>
        </w:tc>
        <w:tc>
          <w:tcPr>
            <w:tcW w:w="1308" w:type="dxa"/>
            <w:vAlign w:val="center"/>
          </w:tcPr>
          <w:p w:rsidR="00F57F0B" w:rsidRDefault="00325CD2">
            <w:pPr>
              <w:shd w:val="clear" w:color="auto" w:fill="FFFFFF"/>
              <w:jc w:val="center"/>
            </w:pPr>
            <w:r>
              <w:rPr>
                <w:b/>
                <w:bCs/>
                <w:sz w:val="22"/>
              </w:rPr>
              <w:t>3</w:t>
            </w:r>
          </w:p>
        </w:tc>
        <w:tc>
          <w:tcPr>
            <w:tcW w:w="1230" w:type="dxa"/>
            <w:vAlign w:val="center"/>
          </w:tcPr>
          <w:p w:rsidR="00F57F0B" w:rsidRDefault="00325CD2">
            <w:pPr>
              <w:shd w:val="clear" w:color="auto" w:fill="FFFFFF"/>
              <w:jc w:val="center"/>
            </w:pPr>
            <w:r>
              <w:rPr>
                <w:b/>
                <w:bCs/>
                <w:sz w:val="22"/>
              </w:rPr>
              <w:t>4</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1</w:t>
            </w:r>
          </w:p>
        </w:tc>
        <w:tc>
          <w:tcPr>
            <w:tcW w:w="2455" w:type="dxa"/>
            <w:vAlign w:val="center"/>
          </w:tcPr>
          <w:p w:rsidR="00F57F0B" w:rsidRDefault="00325CD2">
            <w:pPr>
              <w:shd w:val="clear" w:color="auto" w:fill="FFFFFF"/>
            </w:pPr>
            <w:r>
              <w:rPr>
                <w:rFonts w:cs="宋体"/>
                <w:sz w:val="22"/>
              </w:rPr>
              <w:t> </w:t>
            </w:r>
            <w:r>
              <w:rPr>
                <w:rFonts w:cs="宋体"/>
                <w:sz w:val="22"/>
              </w:rPr>
              <w:t>货币资金</w:t>
            </w:r>
          </w:p>
        </w:tc>
        <w:tc>
          <w:tcPr>
            <w:tcW w:w="1490" w:type="dxa"/>
            <w:vAlign w:val="center"/>
          </w:tcPr>
          <w:p w:rsidR="00F57F0B" w:rsidRDefault="00325CD2">
            <w:pPr>
              <w:shd w:val="clear" w:color="auto" w:fill="FFFFFF"/>
              <w:jc w:val="right"/>
            </w:pPr>
            <w:r>
              <w:rPr>
                <w:rFonts w:hint="eastAsia"/>
                <w:sz w:val="22"/>
              </w:rPr>
              <w:t>151,792.36</w:t>
            </w:r>
          </w:p>
        </w:tc>
        <w:tc>
          <w:tcPr>
            <w:tcW w:w="1490" w:type="dxa"/>
            <w:vAlign w:val="center"/>
          </w:tcPr>
          <w:p w:rsidR="00F57F0B" w:rsidRDefault="00325CD2">
            <w:pPr>
              <w:shd w:val="clear" w:color="auto" w:fill="FFFFFF"/>
              <w:jc w:val="right"/>
            </w:pPr>
            <w:r>
              <w:rPr>
                <w:rFonts w:hint="eastAsia"/>
                <w:sz w:val="22"/>
              </w:rPr>
              <w:t>167,240.04</w:t>
            </w:r>
          </w:p>
        </w:tc>
        <w:tc>
          <w:tcPr>
            <w:tcW w:w="1308" w:type="dxa"/>
            <w:vAlign w:val="center"/>
          </w:tcPr>
          <w:p w:rsidR="00F57F0B" w:rsidRDefault="00325CD2">
            <w:pPr>
              <w:shd w:val="clear" w:color="auto" w:fill="FFFFFF"/>
              <w:jc w:val="right"/>
            </w:pPr>
            <w:r>
              <w:rPr>
                <w:rFonts w:hint="eastAsia"/>
                <w:sz w:val="22"/>
              </w:rPr>
              <w:t>15,447.68</w:t>
            </w:r>
          </w:p>
        </w:tc>
        <w:tc>
          <w:tcPr>
            <w:tcW w:w="1230" w:type="dxa"/>
            <w:vAlign w:val="center"/>
          </w:tcPr>
          <w:p w:rsidR="00F57F0B" w:rsidRDefault="00325CD2">
            <w:pPr>
              <w:shd w:val="clear" w:color="auto" w:fill="FFFFFF"/>
              <w:jc w:val="right"/>
            </w:pPr>
            <w:r>
              <w:rPr>
                <w:rFonts w:hint="eastAsia"/>
                <w:sz w:val="22"/>
              </w:rPr>
              <w:t>10.18</w:t>
            </w:r>
            <w:r>
              <w:rPr>
                <w:sz w:val="22"/>
              </w:rPr>
              <w:t>%</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2</w:t>
            </w:r>
          </w:p>
        </w:tc>
        <w:tc>
          <w:tcPr>
            <w:tcW w:w="2455" w:type="dxa"/>
            <w:vAlign w:val="center"/>
          </w:tcPr>
          <w:p w:rsidR="00F57F0B" w:rsidRDefault="00325CD2">
            <w:pPr>
              <w:shd w:val="clear" w:color="auto" w:fill="FFFFFF"/>
            </w:pPr>
            <w:r>
              <w:rPr>
                <w:rFonts w:cs="宋体"/>
                <w:sz w:val="22"/>
              </w:rPr>
              <w:t> </w:t>
            </w:r>
            <w:r>
              <w:rPr>
                <w:rFonts w:cs="宋体"/>
                <w:sz w:val="22"/>
              </w:rPr>
              <w:t>财政应返还额度</w:t>
            </w:r>
          </w:p>
        </w:tc>
        <w:tc>
          <w:tcPr>
            <w:tcW w:w="1490" w:type="dxa"/>
            <w:vAlign w:val="center"/>
          </w:tcPr>
          <w:p w:rsidR="00F57F0B" w:rsidRDefault="00325CD2">
            <w:pPr>
              <w:shd w:val="clear" w:color="auto" w:fill="FFFFFF"/>
              <w:jc w:val="right"/>
            </w:pPr>
            <w:r>
              <w:rPr>
                <w:sz w:val="22"/>
              </w:rPr>
              <w:t>7,795.49</w:t>
            </w:r>
          </w:p>
        </w:tc>
        <w:tc>
          <w:tcPr>
            <w:tcW w:w="1490" w:type="dxa"/>
            <w:vAlign w:val="center"/>
          </w:tcPr>
          <w:p w:rsidR="00F57F0B" w:rsidRDefault="00325CD2">
            <w:pPr>
              <w:shd w:val="clear" w:color="auto" w:fill="FFFFFF"/>
              <w:jc w:val="right"/>
            </w:pPr>
            <w:r>
              <w:rPr>
                <w:sz w:val="22"/>
              </w:rPr>
              <w:t>5,216.02</w:t>
            </w:r>
          </w:p>
        </w:tc>
        <w:tc>
          <w:tcPr>
            <w:tcW w:w="1308" w:type="dxa"/>
            <w:vAlign w:val="center"/>
          </w:tcPr>
          <w:p w:rsidR="00F57F0B" w:rsidRDefault="00325CD2">
            <w:pPr>
              <w:shd w:val="clear" w:color="auto" w:fill="FFFFFF"/>
              <w:jc w:val="right"/>
            </w:pPr>
            <w:r>
              <w:rPr>
                <w:sz w:val="22"/>
              </w:rPr>
              <w:t>-2,579.47</w:t>
            </w:r>
          </w:p>
        </w:tc>
        <w:tc>
          <w:tcPr>
            <w:tcW w:w="1230" w:type="dxa"/>
            <w:vAlign w:val="center"/>
          </w:tcPr>
          <w:p w:rsidR="00F57F0B" w:rsidRDefault="00325CD2">
            <w:pPr>
              <w:shd w:val="clear" w:color="auto" w:fill="FFFFFF"/>
              <w:jc w:val="right"/>
            </w:pPr>
            <w:r>
              <w:rPr>
                <w:sz w:val="22"/>
              </w:rPr>
              <w:t>-33.09%</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3</w:t>
            </w:r>
          </w:p>
        </w:tc>
        <w:tc>
          <w:tcPr>
            <w:tcW w:w="2455" w:type="dxa"/>
            <w:vAlign w:val="center"/>
          </w:tcPr>
          <w:p w:rsidR="00F57F0B" w:rsidRDefault="00325CD2">
            <w:pPr>
              <w:shd w:val="clear" w:color="auto" w:fill="FFFFFF"/>
            </w:pPr>
            <w:r>
              <w:rPr>
                <w:rFonts w:cs="宋体"/>
                <w:sz w:val="22"/>
              </w:rPr>
              <w:t> </w:t>
            </w:r>
            <w:r>
              <w:rPr>
                <w:rFonts w:cs="宋体"/>
                <w:sz w:val="22"/>
              </w:rPr>
              <w:t>应收账款净额</w:t>
            </w:r>
          </w:p>
        </w:tc>
        <w:tc>
          <w:tcPr>
            <w:tcW w:w="1490" w:type="dxa"/>
            <w:vAlign w:val="center"/>
          </w:tcPr>
          <w:p w:rsidR="00F57F0B" w:rsidRDefault="00325CD2">
            <w:pPr>
              <w:shd w:val="clear" w:color="auto" w:fill="FFFFFF"/>
              <w:jc w:val="right"/>
            </w:pPr>
            <w:r>
              <w:rPr>
                <w:sz w:val="22"/>
              </w:rPr>
              <w:t>681.36</w:t>
            </w:r>
          </w:p>
        </w:tc>
        <w:tc>
          <w:tcPr>
            <w:tcW w:w="1490" w:type="dxa"/>
            <w:vAlign w:val="center"/>
          </w:tcPr>
          <w:p w:rsidR="00F57F0B" w:rsidRDefault="00325CD2">
            <w:pPr>
              <w:shd w:val="clear" w:color="auto" w:fill="FFFFFF"/>
              <w:jc w:val="right"/>
            </w:pPr>
            <w:r>
              <w:rPr>
                <w:sz w:val="22"/>
              </w:rPr>
              <w:t>657.91</w:t>
            </w:r>
          </w:p>
        </w:tc>
        <w:tc>
          <w:tcPr>
            <w:tcW w:w="1308" w:type="dxa"/>
            <w:vAlign w:val="center"/>
          </w:tcPr>
          <w:p w:rsidR="00F57F0B" w:rsidRDefault="00325CD2">
            <w:pPr>
              <w:shd w:val="clear" w:color="auto" w:fill="FFFFFF"/>
              <w:jc w:val="right"/>
            </w:pPr>
            <w:r>
              <w:rPr>
                <w:sz w:val="22"/>
              </w:rPr>
              <w:t>-23.45</w:t>
            </w:r>
          </w:p>
        </w:tc>
        <w:tc>
          <w:tcPr>
            <w:tcW w:w="1230" w:type="dxa"/>
            <w:vAlign w:val="center"/>
          </w:tcPr>
          <w:p w:rsidR="00F57F0B" w:rsidRDefault="00325CD2">
            <w:pPr>
              <w:shd w:val="clear" w:color="auto" w:fill="FFFFFF"/>
              <w:jc w:val="right"/>
            </w:pPr>
            <w:r>
              <w:rPr>
                <w:sz w:val="22"/>
              </w:rPr>
              <w:t>-3.44%</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4</w:t>
            </w:r>
          </w:p>
        </w:tc>
        <w:tc>
          <w:tcPr>
            <w:tcW w:w="2455" w:type="dxa"/>
            <w:vAlign w:val="center"/>
          </w:tcPr>
          <w:p w:rsidR="00F57F0B" w:rsidRDefault="00325CD2">
            <w:pPr>
              <w:shd w:val="clear" w:color="auto" w:fill="FFFFFF"/>
              <w:rPr>
                <w:rFonts w:cs="宋体"/>
                <w:sz w:val="22"/>
              </w:rPr>
            </w:pPr>
            <w:r>
              <w:rPr>
                <w:rFonts w:cs="宋体"/>
                <w:sz w:val="22"/>
              </w:rPr>
              <w:t> </w:t>
            </w:r>
            <w:r>
              <w:rPr>
                <w:rFonts w:cs="宋体"/>
                <w:sz w:val="22"/>
              </w:rPr>
              <w:t>其他应收款净额</w:t>
            </w:r>
          </w:p>
        </w:tc>
        <w:tc>
          <w:tcPr>
            <w:tcW w:w="1490" w:type="dxa"/>
            <w:vAlign w:val="center"/>
          </w:tcPr>
          <w:p w:rsidR="00F57F0B" w:rsidRDefault="00325CD2">
            <w:pPr>
              <w:shd w:val="clear" w:color="auto" w:fill="FFFFFF"/>
              <w:jc w:val="right"/>
              <w:rPr>
                <w:sz w:val="22"/>
              </w:rPr>
            </w:pPr>
            <w:r>
              <w:rPr>
                <w:rFonts w:hint="eastAsia"/>
                <w:sz w:val="22"/>
              </w:rPr>
              <w:t>16,347.39</w:t>
            </w:r>
          </w:p>
        </w:tc>
        <w:tc>
          <w:tcPr>
            <w:tcW w:w="1490" w:type="dxa"/>
            <w:vAlign w:val="center"/>
          </w:tcPr>
          <w:p w:rsidR="00F57F0B" w:rsidRDefault="00325CD2">
            <w:pPr>
              <w:shd w:val="clear" w:color="auto" w:fill="FFFFFF"/>
              <w:jc w:val="right"/>
              <w:rPr>
                <w:sz w:val="22"/>
              </w:rPr>
            </w:pPr>
            <w:r>
              <w:rPr>
                <w:rFonts w:hint="eastAsia"/>
                <w:sz w:val="22"/>
              </w:rPr>
              <w:t>16,324.75</w:t>
            </w:r>
          </w:p>
        </w:tc>
        <w:tc>
          <w:tcPr>
            <w:tcW w:w="1308" w:type="dxa"/>
            <w:vAlign w:val="center"/>
          </w:tcPr>
          <w:p w:rsidR="00F57F0B" w:rsidRDefault="00325CD2">
            <w:pPr>
              <w:shd w:val="clear" w:color="auto" w:fill="FFFFFF"/>
              <w:jc w:val="right"/>
              <w:rPr>
                <w:sz w:val="22"/>
              </w:rPr>
            </w:pPr>
            <w:r>
              <w:rPr>
                <w:sz w:val="22"/>
              </w:rPr>
              <w:t>-</w:t>
            </w:r>
            <w:r>
              <w:rPr>
                <w:rFonts w:hint="eastAsia"/>
                <w:sz w:val="22"/>
              </w:rPr>
              <w:t>22.64</w:t>
            </w:r>
          </w:p>
        </w:tc>
        <w:tc>
          <w:tcPr>
            <w:tcW w:w="1230" w:type="dxa"/>
            <w:vAlign w:val="center"/>
          </w:tcPr>
          <w:p w:rsidR="00F57F0B" w:rsidRDefault="00325CD2">
            <w:pPr>
              <w:shd w:val="clear" w:color="auto" w:fill="FFFFFF"/>
              <w:jc w:val="right"/>
              <w:rPr>
                <w:sz w:val="22"/>
              </w:rPr>
            </w:pPr>
            <w:r>
              <w:rPr>
                <w:sz w:val="22"/>
              </w:rPr>
              <w:t>-</w:t>
            </w:r>
            <w:r>
              <w:rPr>
                <w:rFonts w:hint="eastAsia"/>
                <w:sz w:val="22"/>
              </w:rPr>
              <w:t>0.14</w:t>
            </w:r>
            <w:r>
              <w:rPr>
                <w:sz w:val="22"/>
              </w:rPr>
              <w:t>%</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5</w:t>
            </w:r>
          </w:p>
        </w:tc>
        <w:tc>
          <w:tcPr>
            <w:tcW w:w="2455" w:type="dxa"/>
            <w:vAlign w:val="center"/>
          </w:tcPr>
          <w:p w:rsidR="00F57F0B" w:rsidRDefault="00325CD2">
            <w:pPr>
              <w:shd w:val="clear" w:color="auto" w:fill="FFFFFF"/>
            </w:pPr>
            <w:r>
              <w:rPr>
                <w:rFonts w:cs="宋体"/>
                <w:sz w:val="22"/>
              </w:rPr>
              <w:t> </w:t>
            </w:r>
            <w:r>
              <w:rPr>
                <w:rFonts w:cs="宋体"/>
                <w:sz w:val="22"/>
              </w:rPr>
              <w:t>预付账款</w:t>
            </w:r>
          </w:p>
        </w:tc>
        <w:tc>
          <w:tcPr>
            <w:tcW w:w="1490" w:type="dxa"/>
            <w:vAlign w:val="center"/>
          </w:tcPr>
          <w:p w:rsidR="00F57F0B" w:rsidRDefault="00325CD2">
            <w:pPr>
              <w:shd w:val="clear" w:color="auto" w:fill="FFFFFF"/>
              <w:jc w:val="right"/>
            </w:pPr>
            <w:r>
              <w:rPr>
                <w:sz w:val="22"/>
              </w:rPr>
              <w:t>4,460.52</w:t>
            </w:r>
          </w:p>
        </w:tc>
        <w:tc>
          <w:tcPr>
            <w:tcW w:w="1490" w:type="dxa"/>
            <w:vAlign w:val="center"/>
          </w:tcPr>
          <w:p w:rsidR="00F57F0B" w:rsidRDefault="00325CD2">
            <w:pPr>
              <w:shd w:val="clear" w:color="auto" w:fill="FFFFFF"/>
              <w:jc w:val="right"/>
            </w:pPr>
            <w:r>
              <w:rPr>
                <w:sz w:val="22"/>
              </w:rPr>
              <w:t>331.23</w:t>
            </w:r>
          </w:p>
        </w:tc>
        <w:tc>
          <w:tcPr>
            <w:tcW w:w="1308" w:type="dxa"/>
            <w:vAlign w:val="center"/>
          </w:tcPr>
          <w:p w:rsidR="00F57F0B" w:rsidRDefault="00325CD2">
            <w:pPr>
              <w:shd w:val="clear" w:color="auto" w:fill="FFFFFF"/>
              <w:jc w:val="right"/>
            </w:pPr>
            <w:r>
              <w:rPr>
                <w:sz w:val="22"/>
              </w:rPr>
              <w:t>-4,129.29</w:t>
            </w:r>
          </w:p>
        </w:tc>
        <w:tc>
          <w:tcPr>
            <w:tcW w:w="1230" w:type="dxa"/>
            <w:vAlign w:val="center"/>
          </w:tcPr>
          <w:p w:rsidR="00F57F0B" w:rsidRDefault="00325CD2">
            <w:pPr>
              <w:shd w:val="clear" w:color="auto" w:fill="FFFFFF"/>
              <w:jc w:val="right"/>
            </w:pPr>
            <w:r>
              <w:rPr>
                <w:sz w:val="22"/>
              </w:rPr>
              <w:t>-92.57%</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6</w:t>
            </w:r>
          </w:p>
        </w:tc>
        <w:tc>
          <w:tcPr>
            <w:tcW w:w="2455" w:type="dxa"/>
            <w:vAlign w:val="center"/>
          </w:tcPr>
          <w:p w:rsidR="00F57F0B" w:rsidRDefault="00325CD2">
            <w:pPr>
              <w:shd w:val="clear" w:color="auto" w:fill="FFFFFF"/>
            </w:pPr>
            <w:r>
              <w:rPr>
                <w:rFonts w:cs="宋体"/>
                <w:sz w:val="22"/>
              </w:rPr>
              <w:t> </w:t>
            </w:r>
            <w:r>
              <w:rPr>
                <w:rFonts w:cs="宋体"/>
                <w:sz w:val="22"/>
              </w:rPr>
              <w:t>存货</w:t>
            </w:r>
          </w:p>
        </w:tc>
        <w:tc>
          <w:tcPr>
            <w:tcW w:w="1490" w:type="dxa"/>
            <w:vAlign w:val="center"/>
          </w:tcPr>
          <w:p w:rsidR="00F57F0B" w:rsidRDefault="00325CD2">
            <w:pPr>
              <w:shd w:val="clear" w:color="auto" w:fill="FFFFFF"/>
              <w:jc w:val="right"/>
            </w:pPr>
            <w:r>
              <w:rPr>
                <w:sz w:val="22"/>
              </w:rPr>
              <w:t>371.18</w:t>
            </w:r>
          </w:p>
        </w:tc>
        <w:tc>
          <w:tcPr>
            <w:tcW w:w="1490" w:type="dxa"/>
            <w:vAlign w:val="center"/>
          </w:tcPr>
          <w:p w:rsidR="00F57F0B" w:rsidRDefault="00325CD2">
            <w:pPr>
              <w:shd w:val="clear" w:color="auto" w:fill="FFFFFF"/>
              <w:jc w:val="right"/>
            </w:pPr>
            <w:r>
              <w:rPr>
                <w:sz w:val="22"/>
              </w:rPr>
              <w:t>338.00</w:t>
            </w:r>
          </w:p>
        </w:tc>
        <w:tc>
          <w:tcPr>
            <w:tcW w:w="1308" w:type="dxa"/>
            <w:vAlign w:val="center"/>
          </w:tcPr>
          <w:p w:rsidR="00F57F0B" w:rsidRDefault="00325CD2">
            <w:pPr>
              <w:shd w:val="clear" w:color="auto" w:fill="FFFFFF"/>
              <w:jc w:val="right"/>
            </w:pPr>
            <w:r>
              <w:rPr>
                <w:sz w:val="22"/>
              </w:rPr>
              <w:t>-33.18</w:t>
            </w:r>
          </w:p>
        </w:tc>
        <w:tc>
          <w:tcPr>
            <w:tcW w:w="1230" w:type="dxa"/>
            <w:vAlign w:val="center"/>
          </w:tcPr>
          <w:p w:rsidR="00F57F0B" w:rsidRDefault="00325CD2">
            <w:pPr>
              <w:shd w:val="clear" w:color="auto" w:fill="FFFFFF"/>
              <w:jc w:val="right"/>
            </w:pPr>
            <w:r>
              <w:rPr>
                <w:sz w:val="22"/>
              </w:rPr>
              <w:t>-8.94%</w:t>
            </w:r>
          </w:p>
        </w:tc>
      </w:tr>
      <w:tr w:rsidR="00F57F0B">
        <w:trPr>
          <w:trHeight w:hRule="exact" w:val="454"/>
          <w:jc w:val="center"/>
        </w:trPr>
        <w:tc>
          <w:tcPr>
            <w:tcW w:w="3191" w:type="dxa"/>
            <w:gridSpan w:val="2"/>
            <w:vAlign w:val="center"/>
          </w:tcPr>
          <w:p w:rsidR="00F57F0B" w:rsidRDefault="00325CD2">
            <w:pPr>
              <w:shd w:val="clear" w:color="auto" w:fill="FFFFFF"/>
              <w:jc w:val="center"/>
            </w:pPr>
            <w:r>
              <w:rPr>
                <w:rFonts w:cs="宋体"/>
                <w:b/>
                <w:bCs/>
                <w:sz w:val="22"/>
              </w:rPr>
              <w:t>流动资产合计</w:t>
            </w:r>
          </w:p>
        </w:tc>
        <w:tc>
          <w:tcPr>
            <w:tcW w:w="1490" w:type="dxa"/>
            <w:vAlign w:val="center"/>
          </w:tcPr>
          <w:p w:rsidR="00F57F0B" w:rsidRDefault="00325CD2">
            <w:pPr>
              <w:shd w:val="clear" w:color="auto" w:fill="FFFFFF"/>
              <w:jc w:val="right"/>
            </w:pPr>
            <w:r>
              <w:rPr>
                <w:b/>
                <w:bCs/>
                <w:sz w:val="22"/>
              </w:rPr>
              <w:t>181,</w:t>
            </w:r>
            <w:r>
              <w:rPr>
                <w:rFonts w:hint="eastAsia"/>
                <w:b/>
                <w:bCs/>
                <w:sz w:val="22"/>
              </w:rPr>
              <w:t>448.30</w:t>
            </w:r>
          </w:p>
        </w:tc>
        <w:tc>
          <w:tcPr>
            <w:tcW w:w="1490" w:type="dxa"/>
            <w:vAlign w:val="center"/>
          </w:tcPr>
          <w:p w:rsidR="00F57F0B" w:rsidRDefault="00325CD2">
            <w:pPr>
              <w:shd w:val="clear" w:color="auto" w:fill="FFFFFF"/>
              <w:jc w:val="right"/>
            </w:pPr>
            <w:r>
              <w:rPr>
                <w:rFonts w:hint="eastAsia"/>
                <w:b/>
                <w:bCs/>
                <w:sz w:val="22"/>
              </w:rPr>
              <w:t>190,107.95</w:t>
            </w:r>
          </w:p>
        </w:tc>
        <w:tc>
          <w:tcPr>
            <w:tcW w:w="1308" w:type="dxa"/>
            <w:vAlign w:val="center"/>
          </w:tcPr>
          <w:p w:rsidR="00F57F0B" w:rsidRDefault="00325CD2">
            <w:pPr>
              <w:shd w:val="clear" w:color="auto" w:fill="FFFFFF"/>
              <w:jc w:val="right"/>
            </w:pPr>
            <w:r>
              <w:rPr>
                <w:rFonts w:hint="eastAsia"/>
                <w:b/>
                <w:bCs/>
                <w:sz w:val="22"/>
              </w:rPr>
              <w:t>8,659.65</w:t>
            </w:r>
          </w:p>
        </w:tc>
        <w:tc>
          <w:tcPr>
            <w:tcW w:w="1230" w:type="dxa"/>
            <w:vAlign w:val="center"/>
          </w:tcPr>
          <w:p w:rsidR="00F57F0B" w:rsidRDefault="00325CD2">
            <w:pPr>
              <w:shd w:val="clear" w:color="auto" w:fill="FFFFFF"/>
              <w:jc w:val="right"/>
            </w:pPr>
            <w:r>
              <w:rPr>
                <w:rFonts w:hint="eastAsia"/>
                <w:b/>
                <w:bCs/>
                <w:sz w:val="22"/>
              </w:rPr>
              <w:t>4.77</w:t>
            </w:r>
            <w:r>
              <w:rPr>
                <w:b/>
                <w:bCs/>
                <w:sz w:val="22"/>
              </w:rPr>
              <w:t>%</w:t>
            </w:r>
          </w:p>
        </w:tc>
      </w:tr>
    </w:tbl>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1.货币资金（包括库存现金和银行存款）16.72亿元，较上年增加1.54亿元，增长了10.18%，主要原因是预扣的职工社保费、科研项目经费到款、应付及暂存款等增加；</w:t>
      </w:r>
    </w:p>
    <w:p w:rsidR="00F57F0B" w:rsidRDefault="00325CD2">
      <w:pPr>
        <w:spacing w:line="600" w:lineRule="exact"/>
        <w:ind w:firstLine="640"/>
        <w:rPr>
          <w:rFonts w:ascii="仿宋_GB2312" w:eastAsia="仿宋_GB2312"/>
          <w:sz w:val="32"/>
          <w:szCs w:val="32"/>
        </w:rPr>
      </w:pPr>
      <w:r>
        <w:rPr>
          <w:rFonts w:ascii="仿宋_GB2312" w:eastAsia="仿宋_GB2312" w:hint="eastAsia"/>
          <w:sz w:val="32"/>
          <w:szCs w:val="32"/>
        </w:rPr>
        <w:t>2.财政应返还额度0.52亿元，较上年减少0.26亿元，减少率为33.08%，主要是因为本年预算执行进度加快，财政结转结余资金减少，相应国库剩余额度也较上年减少；</w:t>
      </w:r>
    </w:p>
    <w:p w:rsidR="00F57F0B" w:rsidRDefault="00325CD2">
      <w:pPr>
        <w:spacing w:line="600" w:lineRule="exact"/>
        <w:ind w:firstLine="640"/>
        <w:rPr>
          <w:rFonts w:ascii="仿宋_GB2312" w:eastAsia="仿宋_GB2312"/>
          <w:sz w:val="32"/>
          <w:szCs w:val="32"/>
        </w:rPr>
      </w:pPr>
      <w:r>
        <w:rPr>
          <w:rFonts w:ascii="仿宋_GB2312" w:eastAsia="仿宋_GB2312" w:hint="eastAsia"/>
          <w:sz w:val="32"/>
          <w:szCs w:val="32"/>
        </w:rPr>
        <w:t>3. 应收款项（含应收账款和其他应收款）1.70亿元，较上年减少46.09万元，减少率为0.27%，主要是因为清理历史挂账相应减少了应收款；</w:t>
      </w:r>
    </w:p>
    <w:p w:rsidR="00F57F0B" w:rsidRDefault="00325CD2">
      <w:pPr>
        <w:spacing w:line="600" w:lineRule="exact"/>
        <w:ind w:firstLine="640"/>
        <w:rPr>
          <w:rFonts w:ascii="仿宋_GB2312" w:eastAsia="仿宋_GB2312"/>
          <w:sz w:val="32"/>
          <w:szCs w:val="32"/>
        </w:rPr>
      </w:pPr>
      <w:r>
        <w:rPr>
          <w:rFonts w:ascii="仿宋_GB2312" w:eastAsia="仿宋_GB2312" w:hint="eastAsia"/>
          <w:sz w:val="32"/>
          <w:szCs w:val="32"/>
        </w:rPr>
        <w:t>4.预付款项331.23万元，较上年减少4,129.29万元，减少率为92.57%，主要是因为上年预付的建设工程</w:t>
      </w:r>
      <w:proofErr w:type="gramStart"/>
      <w:r>
        <w:rPr>
          <w:rFonts w:ascii="仿宋_GB2312" w:eastAsia="仿宋_GB2312" w:hint="eastAsia"/>
          <w:sz w:val="32"/>
          <w:szCs w:val="32"/>
        </w:rPr>
        <w:t>款形成</w:t>
      </w:r>
      <w:proofErr w:type="gramEnd"/>
      <w:r>
        <w:rPr>
          <w:rFonts w:ascii="仿宋_GB2312" w:eastAsia="仿宋_GB2312" w:hint="eastAsia"/>
          <w:sz w:val="32"/>
          <w:szCs w:val="32"/>
        </w:rPr>
        <w:t>进度支出，冲减预付款；</w:t>
      </w:r>
    </w:p>
    <w:p w:rsidR="00F57F0B" w:rsidRDefault="00325CD2">
      <w:pPr>
        <w:spacing w:line="600" w:lineRule="exact"/>
        <w:ind w:firstLine="640"/>
        <w:rPr>
          <w:rFonts w:ascii="仿宋_GB2312" w:eastAsia="仿宋_GB2312"/>
          <w:sz w:val="32"/>
          <w:szCs w:val="32"/>
        </w:rPr>
      </w:pPr>
      <w:r>
        <w:rPr>
          <w:rFonts w:ascii="仿宋_GB2312" w:eastAsia="仿宋_GB2312" w:hint="eastAsia"/>
          <w:sz w:val="32"/>
          <w:szCs w:val="32"/>
        </w:rPr>
        <w:lastRenderedPageBreak/>
        <w:t>5.存货338万元，较上年减少33.18万元，减少率为8.94%。主要是后勤服务中心库存的消耗材料、实验室安全与条件保障处库存的危化品。</w:t>
      </w:r>
    </w:p>
    <w:p w:rsidR="00F57F0B" w:rsidRDefault="00325CD2">
      <w:pPr>
        <w:spacing w:line="600" w:lineRule="exact"/>
        <w:ind w:firstLine="640"/>
        <w:rPr>
          <w:rFonts w:ascii="黑体" w:eastAsia="黑体" w:hAnsi="黑体" w:cs="黑体"/>
          <w:sz w:val="32"/>
          <w:szCs w:val="32"/>
        </w:rPr>
      </w:pPr>
      <w:r>
        <w:rPr>
          <w:rFonts w:ascii="黑体" w:eastAsia="黑体" w:hAnsi="黑体" w:cs="黑体" w:hint="eastAsia"/>
          <w:sz w:val="32"/>
          <w:szCs w:val="32"/>
        </w:rPr>
        <w:t>（二)非流动资产构成及变动情况</w:t>
      </w:r>
    </w:p>
    <w:p w:rsidR="00F57F0B" w:rsidRDefault="00325CD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2020年12月31日，学校非流动资产净值合计31.69亿元，占总资产的62.42%，其中：固定资产净值24.57亿元（原值50.</w:t>
      </w:r>
      <w:proofErr w:type="gramStart"/>
      <w:r>
        <w:rPr>
          <w:rFonts w:ascii="仿宋_GB2312" w:eastAsia="仿宋_GB2312" w:hAnsi="仿宋_GB2312" w:cs="仿宋_GB2312" w:hint="eastAsia"/>
          <w:sz w:val="32"/>
          <w:szCs w:val="32"/>
        </w:rPr>
        <w:t>69亿元减已计提</w:t>
      </w:r>
      <w:proofErr w:type="gramEnd"/>
      <w:r>
        <w:rPr>
          <w:rFonts w:ascii="仿宋_GB2312" w:eastAsia="仿宋_GB2312" w:hAnsi="仿宋_GB2312" w:cs="仿宋_GB2312" w:hint="eastAsia"/>
          <w:sz w:val="32"/>
          <w:szCs w:val="32"/>
        </w:rPr>
        <w:t>折旧26.12亿元），占77.54% ；无形资产净值 1.88亿元（原值2.22亿元减摊销金额0.34亿元），占 5.94%；在建工程4.23亿元，占 13.34%；长期股权投资9,661.97 万元 ，占 3.05%；工程物资422.48万元，占0.13%。非流动资产构成结构如图3所示：</w:t>
      </w:r>
    </w:p>
    <w:p w:rsidR="00F57F0B" w:rsidRDefault="00325CD2">
      <w:pPr>
        <w:spacing w:line="600" w:lineRule="exact"/>
        <w:ind w:firstLine="640"/>
        <w:rPr>
          <w:rFonts w:ascii="仿宋_GB2312" w:eastAsia="仿宋_GB2312"/>
          <w:sz w:val="32"/>
          <w:szCs w:val="32"/>
        </w:rPr>
      </w:pPr>
      <w:r>
        <w:rPr>
          <w:noProof/>
        </w:rPr>
        <w:drawing>
          <wp:anchor distT="0" distB="0" distL="114300" distR="114300" simplePos="0" relativeHeight="251660288" behindDoc="0" locked="0" layoutInCell="1" allowOverlap="1">
            <wp:simplePos x="0" y="0"/>
            <wp:positionH relativeFrom="column">
              <wp:posOffset>486410</wp:posOffset>
            </wp:positionH>
            <wp:positionV relativeFrom="paragraph">
              <wp:posOffset>144145</wp:posOffset>
            </wp:positionV>
            <wp:extent cx="4687570" cy="2658110"/>
            <wp:effectExtent l="0" t="0" r="17780" b="889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57F0B" w:rsidRDefault="00F57F0B">
      <w:pPr>
        <w:spacing w:line="600" w:lineRule="exact"/>
        <w:ind w:firstLine="640"/>
        <w:rPr>
          <w:rFonts w:ascii="仿宋_GB2312" w:eastAsia="仿宋_GB2312"/>
          <w:sz w:val="32"/>
          <w:szCs w:val="32"/>
        </w:rPr>
      </w:pPr>
    </w:p>
    <w:p w:rsidR="00F57F0B" w:rsidRDefault="00F57F0B">
      <w:pPr>
        <w:spacing w:line="600" w:lineRule="exact"/>
        <w:ind w:firstLine="640"/>
        <w:rPr>
          <w:rFonts w:ascii="仿宋_GB2312" w:eastAsia="仿宋_GB2312"/>
          <w:sz w:val="32"/>
          <w:szCs w:val="32"/>
        </w:rPr>
      </w:pPr>
    </w:p>
    <w:p w:rsidR="00F57F0B" w:rsidRDefault="00F57F0B">
      <w:pPr>
        <w:spacing w:line="600" w:lineRule="exact"/>
        <w:ind w:firstLine="640"/>
        <w:rPr>
          <w:rFonts w:ascii="仿宋_GB2312" w:eastAsia="仿宋_GB2312"/>
          <w:sz w:val="32"/>
          <w:szCs w:val="32"/>
        </w:rPr>
      </w:pPr>
    </w:p>
    <w:p w:rsidR="00F57F0B" w:rsidRDefault="00F57F0B">
      <w:pPr>
        <w:spacing w:line="600" w:lineRule="exact"/>
        <w:ind w:firstLine="640"/>
        <w:rPr>
          <w:rFonts w:ascii="仿宋_GB2312" w:eastAsia="仿宋_GB2312"/>
          <w:sz w:val="32"/>
          <w:szCs w:val="32"/>
        </w:rPr>
      </w:pPr>
    </w:p>
    <w:p w:rsidR="00F57F0B" w:rsidRDefault="00F57F0B">
      <w:pPr>
        <w:spacing w:line="600" w:lineRule="exact"/>
        <w:ind w:firstLine="640"/>
        <w:rPr>
          <w:rFonts w:ascii="仿宋_GB2312" w:eastAsia="仿宋_GB2312"/>
          <w:sz w:val="32"/>
          <w:szCs w:val="32"/>
        </w:rPr>
      </w:pPr>
    </w:p>
    <w:p w:rsidR="00F57F0B" w:rsidRDefault="00F57F0B">
      <w:pPr>
        <w:spacing w:line="600" w:lineRule="exact"/>
        <w:ind w:firstLine="640"/>
        <w:rPr>
          <w:rFonts w:ascii="仿宋_GB2312" w:eastAsia="仿宋_GB2312"/>
          <w:sz w:val="32"/>
          <w:szCs w:val="32"/>
        </w:rPr>
      </w:pPr>
    </w:p>
    <w:p w:rsidR="00F57F0B" w:rsidRDefault="00F57F0B">
      <w:pPr>
        <w:spacing w:line="600" w:lineRule="exact"/>
        <w:ind w:firstLine="640"/>
        <w:rPr>
          <w:rFonts w:ascii="仿宋_GB2312" w:eastAsia="仿宋_GB2312"/>
          <w:sz w:val="32"/>
          <w:szCs w:val="32"/>
        </w:rPr>
      </w:pPr>
    </w:p>
    <w:p w:rsidR="00F57F0B" w:rsidRDefault="00325CD2">
      <w:pPr>
        <w:spacing w:line="600" w:lineRule="exact"/>
        <w:ind w:firstLine="640"/>
        <w:rPr>
          <w:rFonts w:ascii="仿宋_GB2312" w:eastAsia="仿宋_GB2312"/>
          <w:sz w:val="32"/>
          <w:szCs w:val="32"/>
        </w:rPr>
      </w:pPr>
      <w:r>
        <w:rPr>
          <w:rFonts w:ascii="仿宋_GB2312" w:eastAsia="仿宋_GB2312" w:hint="eastAsia"/>
          <w:sz w:val="32"/>
          <w:szCs w:val="32"/>
        </w:rPr>
        <w:t>较上年增加1.93亿元，增长了6.48%，变动情况详见表3：</w:t>
      </w:r>
    </w:p>
    <w:p w:rsidR="00F57F0B" w:rsidRDefault="00325CD2">
      <w:pPr>
        <w:spacing w:beforeLines="50" w:before="156" w:line="600" w:lineRule="exact"/>
        <w:ind w:firstLine="64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1.固定资产构成及变动情况</w:t>
      </w:r>
    </w:p>
    <w:p w:rsidR="00F57F0B" w:rsidRDefault="00325CD2">
      <w:pPr>
        <w:pStyle w:val="BodyTextFirstIndent21"/>
        <w:ind w:leftChars="0" w:left="0" w:firstLine="640"/>
      </w:pPr>
      <w:r>
        <w:rPr>
          <w:rFonts w:ascii="仿宋_GB2312" w:eastAsia="仿宋_GB2312" w:hint="eastAsia"/>
          <w:sz w:val="32"/>
          <w:szCs w:val="32"/>
        </w:rPr>
        <w:t>2020年12月31日，固定资产原值50.69亿元，累计折</w:t>
      </w:r>
    </w:p>
    <w:p w:rsidR="00F57F0B" w:rsidRDefault="00325CD2">
      <w:pPr>
        <w:spacing w:line="600" w:lineRule="exact"/>
        <w:ind w:firstLineChars="100" w:firstLine="321"/>
        <w:rPr>
          <w:rFonts w:ascii="仿宋_GB2312" w:eastAsia="仿宋_GB2312"/>
          <w:b/>
          <w:bCs/>
          <w:sz w:val="32"/>
          <w:szCs w:val="32"/>
        </w:rPr>
      </w:pPr>
      <w:r>
        <w:rPr>
          <w:rFonts w:ascii="仿宋_GB2312" w:eastAsia="仿宋_GB2312" w:hint="eastAsia"/>
          <w:b/>
          <w:bCs/>
          <w:sz w:val="32"/>
          <w:szCs w:val="32"/>
        </w:rPr>
        <w:lastRenderedPageBreak/>
        <w:t>表3          2020年非流动资产变动情况表</w:t>
      </w:r>
    </w:p>
    <w:p w:rsidR="00F57F0B" w:rsidRDefault="00325CD2">
      <w:pPr>
        <w:spacing w:line="600" w:lineRule="exact"/>
        <w:ind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28"/>
          <w:szCs w:val="28"/>
        </w:rPr>
        <w:t>单位：万元</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6"/>
        <w:gridCol w:w="2455"/>
        <w:gridCol w:w="1490"/>
        <w:gridCol w:w="1490"/>
        <w:gridCol w:w="1188"/>
        <w:gridCol w:w="1305"/>
      </w:tblGrid>
      <w:tr w:rsidR="00F57F0B">
        <w:trPr>
          <w:trHeight w:hRule="exact" w:val="454"/>
          <w:jc w:val="center"/>
        </w:trPr>
        <w:tc>
          <w:tcPr>
            <w:tcW w:w="736" w:type="dxa"/>
            <w:vMerge w:val="restart"/>
            <w:vAlign w:val="center"/>
          </w:tcPr>
          <w:p w:rsidR="00F57F0B" w:rsidRDefault="00325CD2">
            <w:pPr>
              <w:shd w:val="clear" w:color="auto" w:fill="FFFFFF"/>
              <w:jc w:val="center"/>
            </w:pPr>
            <w:r>
              <w:rPr>
                <w:rFonts w:cs="宋体"/>
                <w:b/>
                <w:bCs/>
                <w:sz w:val="22"/>
              </w:rPr>
              <w:t>行次</w:t>
            </w:r>
          </w:p>
        </w:tc>
        <w:tc>
          <w:tcPr>
            <w:tcW w:w="2455" w:type="dxa"/>
            <w:vAlign w:val="center"/>
          </w:tcPr>
          <w:p w:rsidR="00F57F0B" w:rsidRDefault="00325CD2">
            <w:pPr>
              <w:shd w:val="clear" w:color="auto" w:fill="FFFFFF"/>
              <w:jc w:val="center"/>
            </w:pPr>
            <w:r>
              <w:rPr>
                <w:rFonts w:cs="宋体"/>
                <w:b/>
                <w:bCs/>
                <w:sz w:val="22"/>
              </w:rPr>
              <w:t>项</w:t>
            </w:r>
            <w:r>
              <w:rPr>
                <w:rFonts w:hint="eastAsia"/>
                <w:b/>
                <w:bCs/>
                <w:sz w:val="22"/>
              </w:rPr>
              <w:t xml:space="preserve">   </w:t>
            </w:r>
            <w:r>
              <w:rPr>
                <w:rFonts w:cs="宋体"/>
                <w:b/>
                <w:bCs/>
                <w:sz w:val="22"/>
              </w:rPr>
              <w:t>目</w:t>
            </w:r>
          </w:p>
        </w:tc>
        <w:tc>
          <w:tcPr>
            <w:tcW w:w="1490" w:type="dxa"/>
            <w:vAlign w:val="center"/>
          </w:tcPr>
          <w:p w:rsidR="00F57F0B" w:rsidRDefault="00325CD2">
            <w:pPr>
              <w:shd w:val="clear" w:color="auto" w:fill="FFFFFF"/>
              <w:jc w:val="center"/>
            </w:pPr>
            <w:r>
              <w:rPr>
                <w:rFonts w:cs="宋体" w:hint="eastAsia"/>
                <w:b/>
                <w:bCs/>
                <w:sz w:val="22"/>
              </w:rPr>
              <w:t>上年末</w:t>
            </w:r>
            <w:r>
              <w:rPr>
                <w:rFonts w:cs="宋体"/>
                <w:b/>
                <w:bCs/>
                <w:sz w:val="22"/>
              </w:rPr>
              <w:t>余额</w:t>
            </w:r>
          </w:p>
        </w:tc>
        <w:tc>
          <w:tcPr>
            <w:tcW w:w="1490" w:type="dxa"/>
            <w:vAlign w:val="center"/>
          </w:tcPr>
          <w:p w:rsidR="00F57F0B" w:rsidRDefault="00325CD2">
            <w:pPr>
              <w:shd w:val="clear" w:color="auto" w:fill="FFFFFF"/>
              <w:jc w:val="center"/>
            </w:pPr>
            <w:r>
              <w:rPr>
                <w:rFonts w:cs="宋体" w:hint="eastAsia"/>
                <w:b/>
                <w:bCs/>
                <w:sz w:val="22"/>
              </w:rPr>
              <w:t>本</w:t>
            </w:r>
            <w:r>
              <w:rPr>
                <w:rFonts w:cs="宋体"/>
                <w:b/>
                <w:bCs/>
                <w:sz w:val="22"/>
              </w:rPr>
              <w:t>年末余额</w:t>
            </w:r>
          </w:p>
        </w:tc>
        <w:tc>
          <w:tcPr>
            <w:tcW w:w="1188" w:type="dxa"/>
            <w:vAlign w:val="center"/>
          </w:tcPr>
          <w:p w:rsidR="00F57F0B" w:rsidRDefault="00325CD2">
            <w:pPr>
              <w:shd w:val="clear" w:color="auto" w:fill="FFFFFF"/>
              <w:jc w:val="center"/>
            </w:pPr>
            <w:r>
              <w:rPr>
                <w:rFonts w:cs="宋体" w:hint="eastAsia"/>
                <w:b/>
                <w:bCs/>
                <w:sz w:val="22"/>
              </w:rPr>
              <w:t>增减</w:t>
            </w:r>
            <w:r>
              <w:rPr>
                <w:rFonts w:cs="宋体"/>
                <w:b/>
                <w:bCs/>
                <w:sz w:val="22"/>
              </w:rPr>
              <w:t>额</w:t>
            </w:r>
          </w:p>
        </w:tc>
        <w:tc>
          <w:tcPr>
            <w:tcW w:w="1305" w:type="dxa"/>
            <w:vAlign w:val="center"/>
          </w:tcPr>
          <w:p w:rsidR="00F57F0B" w:rsidRDefault="00325CD2">
            <w:pPr>
              <w:shd w:val="clear" w:color="auto" w:fill="FFFFFF"/>
              <w:jc w:val="center"/>
            </w:pPr>
            <w:r>
              <w:rPr>
                <w:rFonts w:cs="宋体" w:hint="eastAsia"/>
                <w:b/>
                <w:bCs/>
                <w:sz w:val="22"/>
              </w:rPr>
              <w:t>增减</w:t>
            </w:r>
            <w:r>
              <w:rPr>
                <w:rFonts w:cs="宋体"/>
                <w:b/>
                <w:bCs/>
                <w:sz w:val="22"/>
              </w:rPr>
              <w:t>率</w:t>
            </w:r>
          </w:p>
        </w:tc>
      </w:tr>
      <w:tr w:rsidR="00F57F0B">
        <w:trPr>
          <w:trHeight w:hRule="exact" w:val="454"/>
          <w:jc w:val="center"/>
        </w:trPr>
        <w:tc>
          <w:tcPr>
            <w:tcW w:w="736" w:type="dxa"/>
            <w:vMerge/>
            <w:vAlign w:val="center"/>
          </w:tcPr>
          <w:p w:rsidR="00F57F0B" w:rsidRDefault="00F57F0B">
            <w:pPr>
              <w:jc w:val="center"/>
            </w:pPr>
          </w:p>
        </w:tc>
        <w:tc>
          <w:tcPr>
            <w:tcW w:w="2455" w:type="dxa"/>
            <w:vAlign w:val="center"/>
          </w:tcPr>
          <w:p w:rsidR="00F57F0B" w:rsidRDefault="00325CD2">
            <w:pPr>
              <w:shd w:val="clear" w:color="auto" w:fill="FFFFFF"/>
              <w:jc w:val="center"/>
            </w:pPr>
            <w:r>
              <w:rPr>
                <w:rFonts w:cs="宋体"/>
                <w:b/>
                <w:bCs/>
                <w:sz w:val="22"/>
              </w:rPr>
              <w:t>栏</w:t>
            </w:r>
            <w:r>
              <w:rPr>
                <w:rFonts w:hint="eastAsia"/>
                <w:b/>
                <w:bCs/>
                <w:sz w:val="22"/>
              </w:rPr>
              <w:t xml:space="preserve">    </w:t>
            </w:r>
            <w:r>
              <w:rPr>
                <w:rFonts w:cs="宋体"/>
                <w:b/>
                <w:bCs/>
                <w:sz w:val="22"/>
              </w:rPr>
              <w:t>次</w:t>
            </w:r>
          </w:p>
        </w:tc>
        <w:tc>
          <w:tcPr>
            <w:tcW w:w="1490" w:type="dxa"/>
            <w:vAlign w:val="center"/>
          </w:tcPr>
          <w:p w:rsidR="00F57F0B" w:rsidRDefault="00325CD2">
            <w:pPr>
              <w:shd w:val="clear" w:color="auto" w:fill="FFFFFF"/>
              <w:jc w:val="center"/>
            </w:pPr>
            <w:r>
              <w:rPr>
                <w:b/>
                <w:bCs/>
                <w:sz w:val="22"/>
              </w:rPr>
              <w:t>1</w:t>
            </w:r>
          </w:p>
        </w:tc>
        <w:tc>
          <w:tcPr>
            <w:tcW w:w="1490" w:type="dxa"/>
            <w:vAlign w:val="center"/>
          </w:tcPr>
          <w:p w:rsidR="00F57F0B" w:rsidRDefault="00325CD2">
            <w:pPr>
              <w:shd w:val="clear" w:color="auto" w:fill="FFFFFF"/>
              <w:jc w:val="center"/>
            </w:pPr>
            <w:r>
              <w:rPr>
                <w:b/>
                <w:bCs/>
                <w:sz w:val="22"/>
              </w:rPr>
              <w:t>2</w:t>
            </w:r>
          </w:p>
        </w:tc>
        <w:tc>
          <w:tcPr>
            <w:tcW w:w="1188" w:type="dxa"/>
            <w:vAlign w:val="center"/>
          </w:tcPr>
          <w:p w:rsidR="00F57F0B" w:rsidRDefault="00325CD2">
            <w:pPr>
              <w:shd w:val="clear" w:color="auto" w:fill="FFFFFF"/>
              <w:jc w:val="center"/>
            </w:pPr>
            <w:r>
              <w:rPr>
                <w:b/>
                <w:bCs/>
                <w:sz w:val="22"/>
              </w:rPr>
              <w:t>3</w:t>
            </w:r>
          </w:p>
        </w:tc>
        <w:tc>
          <w:tcPr>
            <w:tcW w:w="1305" w:type="dxa"/>
            <w:vAlign w:val="center"/>
          </w:tcPr>
          <w:p w:rsidR="00F57F0B" w:rsidRDefault="00325CD2">
            <w:pPr>
              <w:shd w:val="clear" w:color="auto" w:fill="FFFFFF"/>
              <w:jc w:val="center"/>
            </w:pPr>
            <w:r>
              <w:rPr>
                <w:b/>
                <w:bCs/>
                <w:sz w:val="22"/>
              </w:rPr>
              <w:t>4</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1</w:t>
            </w:r>
          </w:p>
        </w:tc>
        <w:tc>
          <w:tcPr>
            <w:tcW w:w="2455" w:type="dxa"/>
            <w:vAlign w:val="center"/>
          </w:tcPr>
          <w:p w:rsidR="00F57F0B" w:rsidRDefault="00325CD2">
            <w:pPr>
              <w:shd w:val="clear" w:color="auto" w:fill="FFFFFF"/>
            </w:pPr>
            <w:r>
              <w:rPr>
                <w:rFonts w:cs="宋体"/>
                <w:sz w:val="22"/>
              </w:rPr>
              <w:t> </w:t>
            </w:r>
            <w:r>
              <w:rPr>
                <w:rFonts w:cs="宋体"/>
                <w:sz w:val="22"/>
              </w:rPr>
              <w:t>长期股权投资</w:t>
            </w:r>
          </w:p>
        </w:tc>
        <w:tc>
          <w:tcPr>
            <w:tcW w:w="1490" w:type="dxa"/>
            <w:vAlign w:val="center"/>
          </w:tcPr>
          <w:p w:rsidR="00F57F0B" w:rsidRDefault="00325CD2">
            <w:pPr>
              <w:shd w:val="clear" w:color="auto" w:fill="FFFFFF"/>
              <w:jc w:val="right"/>
            </w:pPr>
            <w:r>
              <w:rPr>
                <w:sz w:val="22"/>
              </w:rPr>
              <w:t>8,567.82</w:t>
            </w:r>
          </w:p>
        </w:tc>
        <w:tc>
          <w:tcPr>
            <w:tcW w:w="1490" w:type="dxa"/>
            <w:vAlign w:val="center"/>
          </w:tcPr>
          <w:p w:rsidR="00F57F0B" w:rsidRDefault="00325CD2">
            <w:pPr>
              <w:shd w:val="clear" w:color="auto" w:fill="FFFFFF"/>
              <w:jc w:val="right"/>
            </w:pPr>
            <w:r>
              <w:rPr>
                <w:sz w:val="22"/>
              </w:rPr>
              <w:t>9,661.97</w:t>
            </w:r>
          </w:p>
        </w:tc>
        <w:tc>
          <w:tcPr>
            <w:tcW w:w="1188" w:type="dxa"/>
            <w:vAlign w:val="center"/>
          </w:tcPr>
          <w:p w:rsidR="00F57F0B" w:rsidRDefault="00325CD2">
            <w:pPr>
              <w:shd w:val="clear" w:color="auto" w:fill="FFFFFF"/>
              <w:jc w:val="right"/>
            </w:pPr>
            <w:r>
              <w:rPr>
                <w:sz w:val="22"/>
              </w:rPr>
              <w:t>1,094.15</w:t>
            </w:r>
          </w:p>
        </w:tc>
        <w:tc>
          <w:tcPr>
            <w:tcW w:w="1305" w:type="dxa"/>
            <w:vAlign w:val="center"/>
          </w:tcPr>
          <w:p w:rsidR="00F57F0B" w:rsidRDefault="00325CD2">
            <w:pPr>
              <w:shd w:val="clear" w:color="auto" w:fill="FFFFFF"/>
              <w:jc w:val="right"/>
            </w:pPr>
            <w:r>
              <w:rPr>
                <w:sz w:val="22"/>
              </w:rPr>
              <w:t>12.77%</w:t>
            </w:r>
          </w:p>
        </w:tc>
      </w:tr>
      <w:tr w:rsidR="00F57F0B">
        <w:trPr>
          <w:trHeight w:hRule="exact" w:val="454"/>
          <w:jc w:val="center"/>
        </w:trPr>
        <w:tc>
          <w:tcPr>
            <w:tcW w:w="736" w:type="dxa"/>
            <w:vAlign w:val="center"/>
          </w:tcPr>
          <w:p w:rsidR="00F57F0B" w:rsidRDefault="00325CD2">
            <w:pPr>
              <w:shd w:val="clear" w:color="auto" w:fill="FFFFFF"/>
              <w:jc w:val="center"/>
            </w:pPr>
            <w:r>
              <w:rPr>
                <w:sz w:val="22"/>
              </w:rPr>
              <w:t>2</w:t>
            </w:r>
          </w:p>
        </w:tc>
        <w:tc>
          <w:tcPr>
            <w:tcW w:w="2455" w:type="dxa"/>
            <w:vAlign w:val="center"/>
          </w:tcPr>
          <w:p w:rsidR="00F57F0B" w:rsidRDefault="00325CD2">
            <w:pPr>
              <w:shd w:val="clear" w:color="auto" w:fill="FFFFFF"/>
            </w:pPr>
            <w:r>
              <w:rPr>
                <w:rFonts w:cs="宋体"/>
                <w:sz w:val="22"/>
              </w:rPr>
              <w:t> </w:t>
            </w:r>
            <w:r>
              <w:rPr>
                <w:rFonts w:cs="宋体"/>
                <w:sz w:val="22"/>
              </w:rPr>
              <w:t>固定资产原值</w:t>
            </w:r>
            <w:r>
              <w:rPr>
                <w:sz w:val="22"/>
              </w:rPr>
              <w:t> </w:t>
            </w:r>
          </w:p>
        </w:tc>
        <w:tc>
          <w:tcPr>
            <w:tcW w:w="1490" w:type="dxa"/>
            <w:vAlign w:val="center"/>
          </w:tcPr>
          <w:p w:rsidR="00F57F0B" w:rsidRDefault="00325CD2">
            <w:pPr>
              <w:shd w:val="clear" w:color="auto" w:fill="FFFFFF"/>
              <w:jc w:val="right"/>
            </w:pPr>
            <w:r>
              <w:rPr>
                <w:sz w:val="22"/>
              </w:rPr>
              <w:t>476,573.19</w:t>
            </w:r>
          </w:p>
        </w:tc>
        <w:tc>
          <w:tcPr>
            <w:tcW w:w="1490" w:type="dxa"/>
            <w:vAlign w:val="center"/>
          </w:tcPr>
          <w:p w:rsidR="00F57F0B" w:rsidRDefault="00325CD2">
            <w:pPr>
              <w:shd w:val="clear" w:color="auto" w:fill="FFFFFF"/>
              <w:jc w:val="right"/>
            </w:pPr>
            <w:r>
              <w:rPr>
                <w:sz w:val="22"/>
              </w:rPr>
              <w:t>506,949.18</w:t>
            </w:r>
          </w:p>
        </w:tc>
        <w:tc>
          <w:tcPr>
            <w:tcW w:w="1188" w:type="dxa"/>
            <w:vAlign w:val="center"/>
          </w:tcPr>
          <w:p w:rsidR="00F57F0B" w:rsidRDefault="00325CD2">
            <w:pPr>
              <w:shd w:val="clear" w:color="auto" w:fill="FFFFFF"/>
              <w:jc w:val="right"/>
            </w:pPr>
            <w:r>
              <w:rPr>
                <w:sz w:val="22"/>
              </w:rPr>
              <w:t>30,375.99</w:t>
            </w:r>
          </w:p>
        </w:tc>
        <w:tc>
          <w:tcPr>
            <w:tcW w:w="1305" w:type="dxa"/>
            <w:vAlign w:val="center"/>
          </w:tcPr>
          <w:p w:rsidR="00F57F0B" w:rsidRDefault="00325CD2">
            <w:pPr>
              <w:shd w:val="clear" w:color="auto" w:fill="FFFFFF"/>
              <w:jc w:val="right"/>
            </w:pPr>
            <w:r>
              <w:rPr>
                <w:sz w:val="22"/>
              </w:rPr>
              <w:t>6.37%</w:t>
            </w:r>
          </w:p>
        </w:tc>
      </w:tr>
      <w:tr w:rsidR="00F57F0B">
        <w:trPr>
          <w:trHeight w:hRule="exact" w:val="454"/>
          <w:jc w:val="center"/>
        </w:trPr>
        <w:tc>
          <w:tcPr>
            <w:tcW w:w="736" w:type="dxa"/>
            <w:vAlign w:val="center"/>
          </w:tcPr>
          <w:p w:rsidR="00F57F0B" w:rsidRDefault="00F57F0B">
            <w:pPr>
              <w:shd w:val="clear" w:color="auto" w:fill="FFFFFF"/>
              <w:jc w:val="center"/>
            </w:pPr>
          </w:p>
        </w:tc>
        <w:tc>
          <w:tcPr>
            <w:tcW w:w="2455" w:type="dxa"/>
            <w:vAlign w:val="center"/>
          </w:tcPr>
          <w:p w:rsidR="00F57F0B" w:rsidRDefault="00325CD2">
            <w:pPr>
              <w:shd w:val="clear" w:color="auto" w:fill="FFFFFF"/>
            </w:pPr>
            <w:r>
              <w:rPr>
                <w:rFonts w:cs="宋体"/>
                <w:sz w:val="22"/>
              </w:rPr>
              <w:t> </w:t>
            </w:r>
            <w:r>
              <w:rPr>
                <w:rFonts w:cs="宋体"/>
                <w:sz w:val="22"/>
              </w:rPr>
              <w:t>减：固定资产累计折旧</w:t>
            </w:r>
          </w:p>
        </w:tc>
        <w:tc>
          <w:tcPr>
            <w:tcW w:w="1490" w:type="dxa"/>
            <w:vAlign w:val="center"/>
          </w:tcPr>
          <w:p w:rsidR="00F57F0B" w:rsidRDefault="00325CD2">
            <w:pPr>
              <w:shd w:val="clear" w:color="auto" w:fill="FFFFFF"/>
              <w:jc w:val="right"/>
            </w:pPr>
            <w:r>
              <w:rPr>
                <w:sz w:val="22"/>
              </w:rPr>
              <w:t>240,580.09</w:t>
            </w:r>
          </w:p>
        </w:tc>
        <w:tc>
          <w:tcPr>
            <w:tcW w:w="1490" w:type="dxa"/>
            <w:vAlign w:val="center"/>
          </w:tcPr>
          <w:p w:rsidR="00F57F0B" w:rsidRDefault="00325CD2">
            <w:pPr>
              <w:shd w:val="clear" w:color="auto" w:fill="FFFFFF"/>
              <w:jc w:val="right"/>
            </w:pPr>
            <w:r>
              <w:rPr>
                <w:sz w:val="22"/>
              </w:rPr>
              <w:t>261,206.65</w:t>
            </w:r>
          </w:p>
        </w:tc>
        <w:tc>
          <w:tcPr>
            <w:tcW w:w="1188" w:type="dxa"/>
            <w:vAlign w:val="center"/>
          </w:tcPr>
          <w:p w:rsidR="00F57F0B" w:rsidRDefault="00325CD2">
            <w:pPr>
              <w:shd w:val="clear" w:color="auto" w:fill="FFFFFF"/>
              <w:jc w:val="right"/>
            </w:pPr>
            <w:r>
              <w:rPr>
                <w:sz w:val="22"/>
              </w:rPr>
              <w:t>20,626.56</w:t>
            </w:r>
          </w:p>
        </w:tc>
        <w:tc>
          <w:tcPr>
            <w:tcW w:w="1305" w:type="dxa"/>
            <w:vAlign w:val="center"/>
          </w:tcPr>
          <w:p w:rsidR="00F57F0B" w:rsidRDefault="00325CD2">
            <w:pPr>
              <w:shd w:val="clear" w:color="auto" w:fill="FFFFFF"/>
              <w:jc w:val="right"/>
            </w:pPr>
            <w:r>
              <w:rPr>
                <w:sz w:val="22"/>
              </w:rPr>
              <w:t>8.57%</w:t>
            </w:r>
          </w:p>
        </w:tc>
      </w:tr>
      <w:tr w:rsidR="00F57F0B">
        <w:trPr>
          <w:trHeight w:hRule="exact" w:val="454"/>
          <w:jc w:val="center"/>
        </w:trPr>
        <w:tc>
          <w:tcPr>
            <w:tcW w:w="736" w:type="dxa"/>
            <w:vAlign w:val="center"/>
          </w:tcPr>
          <w:p w:rsidR="00F57F0B" w:rsidRDefault="00F57F0B">
            <w:pPr>
              <w:shd w:val="clear" w:color="auto" w:fill="FFFFFF"/>
              <w:jc w:val="center"/>
            </w:pPr>
          </w:p>
        </w:tc>
        <w:tc>
          <w:tcPr>
            <w:tcW w:w="2455" w:type="dxa"/>
            <w:vAlign w:val="center"/>
          </w:tcPr>
          <w:p w:rsidR="00F57F0B" w:rsidRDefault="00325CD2">
            <w:pPr>
              <w:shd w:val="clear" w:color="auto" w:fill="FFFFFF"/>
            </w:pPr>
            <w:r>
              <w:rPr>
                <w:rFonts w:cs="宋体"/>
                <w:sz w:val="22"/>
              </w:rPr>
              <w:t> </w:t>
            </w:r>
            <w:r>
              <w:rPr>
                <w:rFonts w:cs="宋体"/>
                <w:sz w:val="22"/>
              </w:rPr>
              <w:t>固定资产净值</w:t>
            </w:r>
          </w:p>
        </w:tc>
        <w:tc>
          <w:tcPr>
            <w:tcW w:w="1490" w:type="dxa"/>
            <w:vAlign w:val="center"/>
          </w:tcPr>
          <w:p w:rsidR="00F57F0B" w:rsidRDefault="00325CD2">
            <w:pPr>
              <w:shd w:val="clear" w:color="auto" w:fill="FFFFFF"/>
              <w:jc w:val="right"/>
            </w:pPr>
            <w:r>
              <w:rPr>
                <w:sz w:val="22"/>
              </w:rPr>
              <w:t>235,993.11</w:t>
            </w:r>
          </w:p>
        </w:tc>
        <w:tc>
          <w:tcPr>
            <w:tcW w:w="1490" w:type="dxa"/>
            <w:vAlign w:val="center"/>
          </w:tcPr>
          <w:p w:rsidR="00F57F0B" w:rsidRDefault="00325CD2">
            <w:pPr>
              <w:shd w:val="clear" w:color="auto" w:fill="FFFFFF"/>
              <w:jc w:val="right"/>
            </w:pPr>
            <w:r>
              <w:rPr>
                <w:sz w:val="22"/>
              </w:rPr>
              <w:t>245,742.53</w:t>
            </w:r>
          </w:p>
        </w:tc>
        <w:tc>
          <w:tcPr>
            <w:tcW w:w="1188" w:type="dxa"/>
            <w:vAlign w:val="center"/>
          </w:tcPr>
          <w:p w:rsidR="00F57F0B" w:rsidRDefault="00325CD2">
            <w:pPr>
              <w:shd w:val="clear" w:color="auto" w:fill="FFFFFF"/>
              <w:jc w:val="right"/>
            </w:pPr>
            <w:r>
              <w:rPr>
                <w:sz w:val="22"/>
              </w:rPr>
              <w:t>9,749.42</w:t>
            </w:r>
          </w:p>
        </w:tc>
        <w:tc>
          <w:tcPr>
            <w:tcW w:w="1305" w:type="dxa"/>
            <w:vAlign w:val="center"/>
          </w:tcPr>
          <w:p w:rsidR="00F57F0B" w:rsidRDefault="00325CD2">
            <w:pPr>
              <w:shd w:val="clear" w:color="auto" w:fill="FFFFFF"/>
              <w:jc w:val="right"/>
            </w:pPr>
            <w:r>
              <w:rPr>
                <w:sz w:val="22"/>
              </w:rPr>
              <w:t>4.13%</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3</w:t>
            </w:r>
          </w:p>
        </w:tc>
        <w:tc>
          <w:tcPr>
            <w:tcW w:w="2455" w:type="dxa"/>
            <w:vAlign w:val="center"/>
          </w:tcPr>
          <w:p w:rsidR="00F57F0B" w:rsidRDefault="00325CD2">
            <w:pPr>
              <w:shd w:val="clear" w:color="auto" w:fill="FFFFFF"/>
            </w:pPr>
            <w:r>
              <w:rPr>
                <w:rFonts w:cs="宋体"/>
                <w:sz w:val="22"/>
              </w:rPr>
              <w:t> </w:t>
            </w:r>
            <w:r>
              <w:rPr>
                <w:rFonts w:cs="宋体"/>
                <w:sz w:val="22"/>
              </w:rPr>
              <w:t>工程物资</w:t>
            </w:r>
          </w:p>
        </w:tc>
        <w:tc>
          <w:tcPr>
            <w:tcW w:w="1490" w:type="dxa"/>
            <w:vAlign w:val="center"/>
          </w:tcPr>
          <w:p w:rsidR="00F57F0B" w:rsidRDefault="00325CD2">
            <w:pPr>
              <w:shd w:val="clear" w:color="auto" w:fill="FFFFFF"/>
              <w:jc w:val="right"/>
            </w:pPr>
            <w:r>
              <w:rPr>
                <w:sz w:val="22"/>
              </w:rPr>
              <w:t>411.29</w:t>
            </w:r>
          </w:p>
        </w:tc>
        <w:tc>
          <w:tcPr>
            <w:tcW w:w="1490" w:type="dxa"/>
            <w:vAlign w:val="center"/>
          </w:tcPr>
          <w:p w:rsidR="00F57F0B" w:rsidRDefault="00325CD2">
            <w:pPr>
              <w:shd w:val="clear" w:color="auto" w:fill="FFFFFF"/>
              <w:jc w:val="right"/>
            </w:pPr>
            <w:r>
              <w:rPr>
                <w:sz w:val="22"/>
              </w:rPr>
              <w:t>422.48</w:t>
            </w:r>
          </w:p>
        </w:tc>
        <w:tc>
          <w:tcPr>
            <w:tcW w:w="1188" w:type="dxa"/>
            <w:vAlign w:val="center"/>
          </w:tcPr>
          <w:p w:rsidR="00F57F0B" w:rsidRDefault="00325CD2">
            <w:pPr>
              <w:shd w:val="clear" w:color="auto" w:fill="FFFFFF"/>
              <w:jc w:val="right"/>
            </w:pPr>
            <w:r>
              <w:rPr>
                <w:sz w:val="22"/>
              </w:rPr>
              <w:t>11.19</w:t>
            </w:r>
          </w:p>
        </w:tc>
        <w:tc>
          <w:tcPr>
            <w:tcW w:w="1305" w:type="dxa"/>
            <w:vAlign w:val="center"/>
          </w:tcPr>
          <w:p w:rsidR="00F57F0B" w:rsidRDefault="00325CD2">
            <w:pPr>
              <w:shd w:val="clear" w:color="auto" w:fill="FFFFFF"/>
              <w:jc w:val="right"/>
            </w:pPr>
            <w:r>
              <w:rPr>
                <w:sz w:val="22"/>
              </w:rPr>
              <w:t>2.72%</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4</w:t>
            </w:r>
          </w:p>
        </w:tc>
        <w:tc>
          <w:tcPr>
            <w:tcW w:w="2455" w:type="dxa"/>
            <w:vAlign w:val="center"/>
          </w:tcPr>
          <w:p w:rsidR="00F57F0B" w:rsidRDefault="00325CD2">
            <w:pPr>
              <w:shd w:val="clear" w:color="auto" w:fill="FFFFFF"/>
            </w:pPr>
            <w:r>
              <w:rPr>
                <w:rFonts w:cs="宋体"/>
                <w:sz w:val="22"/>
              </w:rPr>
              <w:t> </w:t>
            </w:r>
            <w:r>
              <w:rPr>
                <w:rFonts w:cs="宋体"/>
                <w:sz w:val="22"/>
              </w:rPr>
              <w:t>在建工程</w:t>
            </w:r>
          </w:p>
        </w:tc>
        <w:tc>
          <w:tcPr>
            <w:tcW w:w="1490" w:type="dxa"/>
            <w:vAlign w:val="center"/>
          </w:tcPr>
          <w:p w:rsidR="00F57F0B" w:rsidRDefault="00325CD2">
            <w:pPr>
              <w:shd w:val="clear" w:color="auto" w:fill="FFFFFF"/>
              <w:jc w:val="right"/>
            </w:pPr>
            <w:r>
              <w:rPr>
                <w:sz w:val="22"/>
              </w:rPr>
              <w:t>34,146.16</w:t>
            </w:r>
          </w:p>
        </w:tc>
        <w:tc>
          <w:tcPr>
            <w:tcW w:w="1490" w:type="dxa"/>
            <w:vAlign w:val="center"/>
          </w:tcPr>
          <w:p w:rsidR="00F57F0B" w:rsidRDefault="00325CD2">
            <w:pPr>
              <w:shd w:val="clear" w:color="auto" w:fill="FFFFFF"/>
              <w:jc w:val="right"/>
            </w:pPr>
            <w:r>
              <w:rPr>
                <w:sz w:val="22"/>
              </w:rPr>
              <w:t>42,277.62</w:t>
            </w:r>
          </w:p>
        </w:tc>
        <w:tc>
          <w:tcPr>
            <w:tcW w:w="1188" w:type="dxa"/>
            <w:vAlign w:val="center"/>
          </w:tcPr>
          <w:p w:rsidR="00F57F0B" w:rsidRDefault="00325CD2">
            <w:pPr>
              <w:shd w:val="clear" w:color="auto" w:fill="FFFFFF"/>
              <w:jc w:val="right"/>
            </w:pPr>
            <w:r>
              <w:rPr>
                <w:sz w:val="22"/>
              </w:rPr>
              <w:t>8,131.46</w:t>
            </w:r>
          </w:p>
        </w:tc>
        <w:tc>
          <w:tcPr>
            <w:tcW w:w="1305" w:type="dxa"/>
            <w:vAlign w:val="center"/>
          </w:tcPr>
          <w:p w:rsidR="00F57F0B" w:rsidRDefault="00325CD2">
            <w:pPr>
              <w:shd w:val="clear" w:color="auto" w:fill="FFFFFF"/>
              <w:jc w:val="right"/>
            </w:pPr>
            <w:r>
              <w:rPr>
                <w:sz w:val="22"/>
              </w:rPr>
              <w:t>23.81%</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5</w:t>
            </w:r>
          </w:p>
        </w:tc>
        <w:tc>
          <w:tcPr>
            <w:tcW w:w="2455" w:type="dxa"/>
            <w:vAlign w:val="center"/>
          </w:tcPr>
          <w:p w:rsidR="00F57F0B" w:rsidRDefault="00325CD2">
            <w:pPr>
              <w:shd w:val="clear" w:color="auto" w:fill="FFFFFF"/>
            </w:pPr>
            <w:r>
              <w:rPr>
                <w:rFonts w:cs="宋体"/>
                <w:sz w:val="22"/>
              </w:rPr>
              <w:t> </w:t>
            </w:r>
            <w:r>
              <w:rPr>
                <w:rFonts w:cs="宋体"/>
                <w:sz w:val="22"/>
              </w:rPr>
              <w:t>无形资产原值</w:t>
            </w:r>
          </w:p>
        </w:tc>
        <w:tc>
          <w:tcPr>
            <w:tcW w:w="1490" w:type="dxa"/>
            <w:vAlign w:val="center"/>
          </w:tcPr>
          <w:p w:rsidR="00F57F0B" w:rsidRDefault="00325CD2">
            <w:pPr>
              <w:shd w:val="clear" w:color="auto" w:fill="FFFFFF"/>
              <w:jc w:val="right"/>
            </w:pPr>
            <w:r>
              <w:rPr>
                <w:sz w:val="22"/>
              </w:rPr>
              <w:t>21,425.76</w:t>
            </w:r>
          </w:p>
        </w:tc>
        <w:tc>
          <w:tcPr>
            <w:tcW w:w="1490" w:type="dxa"/>
            <w:vAlign w:val="center"/>
          </w:tcPr>
          <w:p w:rsidR="00F57F0B" w:rsidRDefault="00325CD2">
            <w:pPr>
              <w:shd w:val="clear" w:color="auto" w:fill="FFFFFF"/>
              <w:jc w:val="right"/>
            </w:pPr>
            <w:r>
              <w:rPr>
                <w:sz w:val="22"/>
              </w:rPr>
              <w:t>22,205.43</w:t>
            </w:r>
          </w:p>
        </w:tc>
        <w:tc>
          <w:tcPr>
            <w:tcW w:w="1188" w:type="dxa"/>
            <w:vAlign w:val="center"/>
          </w:tcPr>
          <w:p w:rsidR="00F57F0B" w:rsidRDefault="00325CD2">
            <w:pPr>
              <w:shd w:val="clear" w:color="auto" w:fill="FFFFFF"/>
              <w:jc w:val="right"/>
            </w:pPr>
            <w:r>
              <w:rPr>
                <w:sz w:val="22"/>
              </w:rPr>
              <w:t>779.67</w:t>
            </w:r>
          </w:p>
        </w:tc>
        <w:tc>
          <w:tcPr>
            <w:tcW w:w="1305" w:type="dxa"/>
            <w:vAlign w:val="center"/>
          </w:tcPr>
          <w:p w:rsidR="00F57F0B" w:rsidRDefault="00325CD2">
            <w:pPr>
              <w:shd w:val="clear" w:color="auto" w:fill="FFFFFF"/>
              <w:jc w:val="right"/>
            </w:pPr>
            <w:r>
              <w:rPr>
                <w:sz w:val="22"/>
              </w:rPr>
              <w:t>3.64%</w:t>
            </w:r>
          </w:p>
        </w:tc>
      </w:tr>
      <w:tr w:rsidR="00F57F0B">
        <w:trPr>
          <w:trHeight w:hRule="exact" w:val="454"/>
          <w:jc w:val="center"/>
        </w:trPr>
        <w:tc>
          <w:tcPr>
            <w:tcW w:w="736" w:type="dxa"/>
            <w:vAlign w:val="center"/>
          </w:tcPr>
          <w:p w:rsidR="00F57F0B" w:rsidRDefault="00F57F0B">
            <w:pPr>
              <w:shd w:val="clear" w:color="auto" w:fill="FFFFFF"/>
              <w:jc w:val="center"/>
            </w:pPr>
          </w:p>
        </w:tc>
        <w:tc>
          <w:tcPr>
            <w:tcW w:w="2455" w:type="dxa"/>
            <w:vAlign w:val="center"/>
          </w:tcPr>
          <w:p w:rsidR="00F57F0B" w:rsidRDefault="00325CD2">
            <w:pPr>
              <w:shd w:val="clear" w:color="auto" w:fill="FFFFFF"/>
              <w:ind w:firstLine="220"/>
            </w:pPr>
            <w:r>
              <w:rPr>
                <w:rFonts w:cs="宋体"/>
                <w:sz w:val="22"/>
              </w:rPr>
              <w:t>减：无形资产累计摊销</w:t>
            </w:r>
          </w:p>
        </w:tc>
        <w:tc>
          <w:tcPr>
            <w:tcW w:w="1490" w:type="dxa"/>
            <w:vAlign w:val="center"/>
          </w:tcPr>
          <w:p w:rsidR="00F57F0B" w:rsidRDefault="00325CD2">
            <w:pPr>
              <w:shd w:val="clear" w:color="auto" w:fill="FFFFFF"/>
              <w:jc w:val="right"/>
            </w:pPr>
            <w:r>
              <w:rPr>
                <w:sz w:val="22"/>
              </w:rPr>
              <w:t>2,904.18</w:t>
            </w:r>
          </w:p>
        </w:tc>
        <w:tc>
          <w:tcPr>
            <w:tcW w:w="1490" w:type="dxa"/>
            <w:vAlign w:val="center"/>
          </w:tcPr>
          <w:p w:rsidR="00F57F0B" w:rsidRDefault="00325CD2">
            <w:pPr>
              <w:shd w:val="clear" w:color="auto" w:fill="FFFFFF"/>
              <w:jc w:val="right"/>
            </w:pPr>
            <w:r>
              <w:rPr>
                <w:sz w:val="22"/>
              </w:rPr>
              <w:t>3,370.22</w:t>
            </w:r>
          </w:p>
        </w:tc>
        <w:tc>
          <w:tcPr>
            <w:tcW w:w="1188" w:type="dxa"/>
            <w:vAlign w:val="center"/>
          </w:tcPr>
          <w:p w:rsidR="00F57F0B" w:rsidRDefault="00325CD2">
            <w:pPr>
              <w:shd w:val="clear" w:color="auto" w:fill="FFFFFF"/>
              <w:jc w:val="right"/>
            </w:pPr>
            <w:r>
              <w:rPr>
                <w:sz w:val="22"/>
              </w:rPr>
              <w:t>466.04</w:t>
            </w:r>
          </w:p>
        </w:tc>
        <w:tc>
          <w:tcPr>
            <w:tcW w:w="1305" w:type="dxa"/>
            <w:vAlign w:val="center"/>
          </w:tcPr>
          <w:p w:rsidR="00F57F0B" w:rsidRDefault="00325CD2">
            <w:pPr>
              <w:shd w:val="clear" w:color="auto" w:fill="FFFFFF"/>
              <w:jc w:val="right"/>
            </w:pPr>
            <w:r>
              <w:rPr>
                <w:sz w:val="22"/>
              </w:rPr>
              <w:t>16.05%</w:t>
            </w:r>
          </w:p>
        </w:tc>
      </w:tr>
      <w:tr w:rsidR="00F57F0B">
        <w:trPr>
          <w:trHeight w:hRule="exact" w:val="454"/>
          <w:jc w:val="center"/>
        </w:trPr>
        <w:tc>
          <w:tcPr>
            <w:tcW w:w="736" w:type="dxa"/>
            <w:vAlign w:val="center"/>
          </w:tcPr>
          <w:p w:rsidR="00F57F0B" w:rsidRDefault="00F57F0B">
            <w:pPr>
              <w:shd w:val="clear" w:color="auto" w:fill="FFFFFF"/>
              <w:jc w:val="center"/>
            </w:pPr>
          </w:p>
        </w:tc>
        <w:tc>
          <w:tcPr>
            <w:tcW w:w="2455" w:type="dxa"/>
            <w:vAlign w:val="center"/>
          </w:tcPr>
          <w:p w:rsidR="00F57F0B" w:rsidRDefault="00325CD2">
            <w:pPr>
              <w:shd w:val="clear" w:color="auto" w:fill="FFFFFF"/>
              <w:ind w:firstLine="220"/>
            </w:pPr>
            <w:r>
              <w:rPr>
                <w:rFonts w:cs="宋体"/>
                <w:sz w:val="22"/>
              </w:rPr>
              <w:t>无形资产净值</w:t>
            </w:r>
          </w:p>
        </w:tc>
        <w:tc>
          <w:tcPr>
            <w:tcW w:w="1490" w:type="dxa"/>
            <w:vAlign w:val="center"/>
          </w:tcPr>
          <w:p w:rsidR="00F57F0B" w:rsidRDefault="00325CD2">
            <w:pPr>
              <w:shd w:val="clear" w:color="auto" w:fill="FFFFFF"/>
              <w:jc w:val="right"/>
            </w:pPr>
            <w:r>
              <w:rPr>
                <w:sz w:val="22"/>
              </w:rPr>
              <w:t>18,521.58</w:t>
            </w:r>
          </w:p>
        </w:tc>
        <w:tc>
          <w:tcPr>
            <w:tcW w:w="1490" w:type="dxa"/>
            <w:vAlign w:val="center"/>
          </w:tcPr>
          <w:p w:rsidR="00F57F0B" w:rsidRDefault="00325CD2">
            <w:pPr>
              <w:shd w:val="clear" w:color="auto" w:fill="FFFFFF"/>
              <w:jc w:val="right"/>
            </w:pPr>
            <w:r>
              <w:rPr>
                <w:sz w:val="22"/>
              </w:rPr>
              <w:t>18,835.20</w:t>
            </w:r>
          </w:p>
        </w:tc>
        <w:tc>
          <w:tcPr>
            <w:tcW w:w="1188" w:type="dxa"/>
            <w:vAlign w:val="center"/>
          </w:tcPr>
          <w:p w:rsidR="00F57F0B" w:rsidRDefault="00325CD2">
            <w:pPr>
              <w:shd w:val="clear" w:color="auto" w:fill="FFFFFF"/>
              <w:jc w:val="right"/>
            </w:pPr>
            <w:r>
              <w:rPr>
                <w:sz w:val="22"/>
              </w:rPr>
              <w:t>313.62</w:t>
            </w:r>
          </w:p>
        </w:tc>
        <w:tc>
          <w:tcPr>
            <w:tcW w:w="1305" w:type="dxa"/>
            <w:vAlign w:val="center"/>
          </w:tcPr>
          <w:p w:rsidR="00F57F0B" w:rsidRDefault="00325CD2">
            <w:pPr>
              <w:shd w:val="clear" w:color="auto" w:fill="FFFFFF"/>
              <w:jc w:val="right"/>
            </w:pPr>
            <w:r>
              <w:rPr>
                <w:sz w:val="22"/>
              </w:rPr>
              <w:t>1.69%</w:t>
            </w:r>
          </w:p>
        </w:tc>
      </w:tr>
      <w:tr w:rsidR="00F57F0B">
        <w:trPr>
          <w:trHeight w:hRule="exact" w:val="454"/>
          <w:jc w:val="center"/>
        </w:trPr>
        <w:tc>
          <w:tcPr>
            <w:tcW w:w="3191" w:type="dxa"/>
            <w:gridSpan w:val="2"/>
            <w:vAlign w:val="center"/>
          </w:tcPr>
          <w:p w:rsidR="00F57F0B" w:rsidRDefault="00325CD2">
            <w:pPr>
              <w:shd w:val="clear" w:color="auto" w:fill="FFFFFF"/>
              <w:jc w:val="center"/>
            </w:pPr>
            <w:r>
              <w:rPr>
                <w:rFonts w:cs="宋体"/>
                <w:b/>
                <w:bCs/>
                <w:sz w:val="22"/>
              </w:rPr>
              <w:t>非流动资产合计</w:t>
            </w:r>
          </w:p>
        </w:tc>
        <w:tc>
          <w:tcPr>
            <w:tcW w:w="1490" w:type="dxa"/>
            <w:vAlign w:val="center"/>
          </w:tcPr>
          <w:p w:rsidR="00F57F0B" w:rsidRDefault="00325CD2">
            <w:pPr>
              <w:shd w:val="clear" w:color="auto" w:fill="FFFFFF"/>
              <w:jc w:val="right"/>
            </w:pPr>
            <w:r>
              <w:rPr>
                <w:b/>
                <w:bCs/>
                <w:sz w:val="22"/>
              </w:rPr>
              <w:t>297,</w:t>
            </w:r>
            <w:r>
              <w:rPr>
                <w:rFonts w:hint="eastAsia"/>
                <w:b/>
                <w:bCs/>
                <w:sz w:val="22"/>
              </w:rPr>
              <w:t>639.95</w:t>
            </w:r>
          </w:p>
        </w:tc>
        <w:tc>
          <w:tcPr>
            <w:tcW w:w="1490" w:type="dxa"/>
            <w:vAlign w:val="center"/>
          </w:tcPr>
          <w:p w:rsidR="00F57F0B" w:rsidRDefault="00325CD2">
            <w:pPr>
              <w:shd w:val="clear" w:color="auto" w:fill="FFFFFF"/>
              <w:jc w:val="right"/>
            </w:pPr>
            <w:r>
              <w:rPr>
                <w:b/>
                <w:bCs/>
                <w:sz w:val="22"/>
              </w:rPr>
              <w:t>31</w:t>
            </w:r>
            <w:r>
              <w:rPr>
                <w:rFonts w:hint="eastAsia"/>
                <w:b/>
                <w:bCs/>
                <w:sz w:val="22"/>
              </w:rPr>
              <w:t>6</w:t>
            </w:r>
            <w:r>
              <w:rPr>
                <w:b/>
                <w:bCs/>
                <w:sz w:val="22"/>
              </w:rPr>
              <w:t>,</w:t>
            </w:r>
            <w:r>
              <w:rPr>
                <w:rFonts w:hint="eastAsia"/>
                <w:b/>
                <w:bCs/>
                <w:sz w:val="22"/>
              </w:rPr>
              <w:t>939.80</w:t>
            </w:r>
          </w:p>
        </w:tc>
        <w:tc>
          <w:tcPr>
            <w:tcW w:w="1188" w:type="dxa"/>
            <w:vAlign w:val="center"/>
          </w:tcPr>
          <w:p w:rsidR="00F57F0B" w:rsidRDefault="00325CD2">
            <w:pPr>
              <w:shd w:val="clear" w:color="auto" w:fill="FFFFFF"/>
              <w:jc w:val="right"/>
            </w:pPr>
            <w:r>
              <w:rPr>
                <w:b/>
                <w:bCs/>
                <w:sz w:val="22"/>
              </w:rPr>
              <w:t>19,</w:t>
            </w:r>
            <w:r>
              <w:rPr>
                <w:rFonts w:hint="eastAsia"/>
                <w:b/>
                <w:bCs/>
                <w:sz w:val="22"/>
              </w:rPr>
              <w:t>299.85</w:t>
            </w:r>
          </w:p>
        </w:tc>
        <w:tc>
          <w:tcPr>
            <w:tcW w:w="1305" w:type="dxa"/>
            <w:vAlign w:val="center"/>
          </w:tcPr>
          <w:p w:rsidR="00F57F0B" w:rsidRDefault="00325CD2">
            <w:pPr>
              <w:shd w:val="clear" w:color="auto" w:fill="FFFFFF"/>
              <w:jc w:val="right"/>
            </w:pPr>
            <w:r>
              <w:rPr>
                <w:rFonts w:hint="eastAsia"/>
                <w:b/>
                <w:bCs/>
                <w:sz w:val="22"/>
              </w:rPr>
              <w:t>6.48</w:t>
            </w:r>
            <w:r>
              <w:rPr>
                <w:b/>
                <w:bCs/>
                <w:sz w:val="22"/>
              </w:rPr>
              <w:t>%</w:t>
            </w:r>
          </w:p>
        </w:tc>
      </w:tr>
    </w:tbl>
    <w:p w:rsidR="00F57F0B" w:rsidRDefault="00325CD2">
      <w:pPr>
        <w:spacing w:line="600" w:lineRule="exact"/>
        <w:rPr>
          <w:rFonts w:ascii="仿宋_GB2312" w:eastAsia="仿宋_GB2312"/>
          <w:sz w:val="32"/>
          <w:szCs w:val="32"/>
        </w:rPr>
      </w:pPr>
      <w:r>
        <w:rPr>
          <w:rFonts w:ascii="仿宋_GB2312" w:eastAsia="仿宋_GB2312" w:hint="eastAsia"/>
          <w:sz w:val="32"/>
          <w:szCs w:val="32"/>
        </w:rPr>
        <w:t>旧26.12亿元，固定资产净值24.57亿元，其中：房屋及构筑物净值 16.54亿元，占 67.31% ，</w:t>
      </w:r>
      <w:r>
        <w:rPr>
          <w:rFonts w:ascii="仿宋" w:eastAsia="仿宋" w:hAnsi="仿宋" w:cs="Courier New" w:hint="eastAsia"/>
          <w:sz w:val="32"/>
          <w:szCs w:val="32"/>
        </w:rPr>
        <w:t>仪器设备净值5.50亿元，占22.39%，</w:t>
      </w:r>
      <w:r>
        <w:rPr>
          <w:rFonts w:ascii="仿宋_GB2312" w:eastAsia="仿宋_GB2312" w:hint="eastAsia"/>
          <w:sz w:val="32"/>
          <w:szCs w:val="32"/>
        </w:rPr>
        <w:t>文物和陈列品1,196.61 万元，占0.49 % ，图书档案1.30亿元，占5.31%，家具、用具、装具及动植物净值1.11亿元，占4.50 % 。固定资产构成结构如图4所示：</w:t>
      </w:r>
    </w:p>
    <w:p w:rsidR="00F57F0B" w:rsidRDefault="00325CD2">
      <w:pPr>
        <w:spacing w:line="600" w:lineRule="exact"/>
        <w:ind w:firstLine="640"/>
        <w:rPr>
          <w:rFonts w:ascii="仿宋_GB2312" w:eastAsia="仿宋_GB2312"/>
          <w:sz w:val="32"/>
          <w:szCs w:val="32"/>
        </w:rPr>
      </w:pPr>
      <w:r>
        <w:rPr>
          <w:noProof/>
        </w:rPr>
        <w:drawing>
          <wp:anchor distT="0" distB="0" distL="114300" distR="114300" simplePos="0" relativeHeight="251661312" behindDoc="0" locked="0" layoutInCell="1" allowOverlap="1">
            <wp:simplePos x="0" y="0"/>
            <wp:positionH relativeFrom="column">
              <wp:posOffset>592455</wp:posOffset>
            </wp:positionH>
            <wp:positionV relativeFrom="paragraph">
              <wp:posOffset>307975</wp:posOffset>
            </wp:positionV>
            <wp:extent cx="4781550" cy="2962275"/>
            <wp:effectExtent l="0" t="0" r="0" b="952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57F0B" w:rsidRDefault="00F57F0B">
      <w:pPr>
        <w:spacing w:line="600" w:lineRule="exact"/>
        <w:ind w:firstLine="640"/>
        <w:rPr>
          <w:rFonts w:ascii="仿宋_GB2312" w:eastAsia="仿宋_GB2312"/>
          <w:sz w:val="32"/>
          <w:szCs w:val="32"/>
        </w:rPr>
      </w:pPr>
    </w:p>
    <w:p w:rsidR="00F57F0B" w:rsidRDefault="00F57F0B">
      <w:pPr>
        <w:spacing w:line="600" w:lineRule="exact"/>
        <w:ind w:firstLine="640"/>
        <w:rPr>
          <w:rFonts w:ascii="仿宋_GB2312" w:eastAsia="仿宋_GB2312"/>
          <w:sz w:val="32"/>
          <w:szCs w:val="32"/>
        </w:rPr>
      </w:pPr>
    </w:p>
    <w:p w:rsidR="00F57F0B" w:rsidRDefault="00F57F0B">
      <w:pPr>
        <w:spacing w:line="600" w:lineRule="exact"/>
        <w:ind w:firstLine="640"/>
        <w:rPr>
          <w:rFonts w:ascii="仿宋_GB2312" w:eastAsia="仿宋_GB2312"/>
          <w:sz w:val="32"/>
          <w:szCs w:val="32"/>
        </w:rPr>
      </w:pPr>
    </w:p>
    <w:p w:rsidR="00F57F0B" w:rsidRDefault="00F57F0B">
      <w:pPr>
        <w:spacing w:line="600" w:lineRule="exact"/>
        <w:ind w:firstLine="640"/>
        <w:rPr>
          <w:rFonts w:ascii="仿宋_GB2312" w:eastAsia="仿宋_GB2312"/>
          <w:sz w:val="32"/>
          <w:szCs w:val="32"/>
        </w:rPr>
      </w:pPr>
    </w:p>
    <w:p w:rsidR="00F57F0B" w:rsidRDefault="00F57F0B">
      <w:pPr>
        <w:spacing w:line="600" w:lineRule="exact"/>
        <w:ind w:firstLine="640"/>
        <w:rPr>
          <w:rFonts w:ascii="仿宋_GB2312" w:eastAsia="仿宋_GB2312"/>
          <w:sz w:val="32"/>
          <w:szCs w:val="32"/>
        </w:rPr>
      </w:pPr>
    </w:p>
    <w:p w:rsidR="00F57F0B" w:rsidRDefault="00325CD2">
      <w:pPr>
        <w:spacing w:line="600" w:lineRule="exact"/>
        <w:ind w:firstLine="641"/>
        <w:rPr>
          <w:rFonts w:ascii="仿宋_GB2312" w:eastAsia="仿宋_GB2312"/>
          <w:sz w:val="32"/>
          <w:szCs w:val="32"/>
        </w:rPr>
      </w:pPr>
      <w:r>
        <w:rPr>
          <w:rFonts w:ascii="仿宋_GB2312" w:eastAsia="仿宋_GB2312" w:hint="eastAsia"/>
          <w:sz w:val="32"/>
          <w:szCs w:val="32"/>
        </w:rPr>
        <w:lastRenderedPageBreak/>
        <w:t>固定资产原值较上年增加3.04亿元，增长了6.37%；累计折旧较上年增加2.06亿元，增长了8.57%；固定资产净值较上年增加0.98亿元，增长了4.13 %。固定资产净值变动情况详见表4。其中：</w:t>
      </w:r>
    </w:p>
    <w:p w:rsidR="00F57F0B" w:rsidRDefault="00325CD2">
      <w:pPr>
        <w:spacing w:line="600" w:lineRule="exact"/>
        <w:ind w:firstLine="640"/>
        <w:rPr>
          <w:rFonts w:ascii="仿宋_GB2312" w:eastAsia="仿宋_GB2312"/>
          <w:b/>
          <w:bCs/>
          <w:sz w:val="32"/>
          <w:szCs w:val="32"/>
        </w:rPr>
      </w:pPr>
      <w:r>
        <w:rPr>
          <w:rFonts w:ascii="仿宋_GB2312" w:eastAsia="仿宋_GB2312" w:hint="eastAsia"/>
          <w:b/>
          <w:bCs/>
          <w:sz w:val="32"/>
          <w:szCs w:val="32"/>
        </w:rPr>
        <w:t>表4          2020年固定资产净值变动情况表</w:t>
      </w:r>
    </w:p>
    <w:p w:rsidR="00F57F0B" w:rsidRDefault="00325CD2">
      <w:pPr>
        <w:spacing w:line="600" w:lineRule="exact"/>
        <w:ind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28"/>
          <w:szCs w:val="28"/>
        </w:rPr>
        <w:t>单位：万元</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6"/>
        <w:gridCol w:w="2701"/>
        <w:gridCol w:w="1380"/>
        <w:gridCol w:w="1354"/>
        <w:gridCol w:w="1278"/>
        <w:gridCol w:w="1305"/>
      </w:tblGrid>
      <w:tr w:rsidR="00F57F0B">
        <w:trPr>
          <w:trHeight w:hRule="exact" w:val="454"/>
          <w:jc w:val="center"/>
        </w:trPr>
        <w:tc>
          <w:tcPr>
            <w:tcW w:w="736" w:type="dxa"/>
            <w:vMerge w:val="restart"/>
            <w:vAlign w:val="center"/>
          </w:tcPr>
          <w:p w:rsidR="00F57F0B" w:rsidRDefault="00325CD2">
            <w:pPr>
              <w:shd w:val="clear" w:color="auto" w:fill="FFFFFF"/>
              <w:jc w:val="center"/>
            </w:pPr>
            <w:r>
              <w:rPr>
                <w:rFonts w:cs="宋体"/>
                <w:b/>
                <w:bCs/>
                <w:sz w:val="22"/>
              </w:rPr>
              <w:t>行次</w:t>
            </w:r>
          </w:p>
        </w:tc>
        <w:tc>
          <w:tcPr>
            <w:tcW w:w="2701" w:type="dxa"/>
            <w:vAlign w:val="center"/>
          </w:tcPr>
          <w:p w:rsidR="00F57F0B" w:rsidRDefault="00325CD2">
            <w:pPr>
              <w:shd w:val="clear" w:color="auto" w:fill="FFFFFF"/>
              <w:jc w:val="center"/>
            </w:pPr>
            <w:r>
              <w:rPr>
                <w:rFonts w:cs="宋体"/>
                <w:b/>
                <w:bCs/>
                <w:sz w:val="22"/>
              </w:rPr>
              <w:t>项</w:t>
            </w:r>
            <w:r>
              <w:rPr>
                <w:rFonts w:hint="eastAsia"/>
                <w:b/>
                <w:bCs/>
                <w:sz w:val="22"/>
              </w:rPr>
              <w:t xml:space="preserve">   </w:t>
            </w:r>
            <w:r>
              <w:rPr>
                <w:rFonts w:cs="宋体"/>
                <w:b/>
                <w:bCs/>
                <w:sz w:val="22"/>
              </w:rPr>
              <w:t>目</w:t>
            </w:r>
          </w:p>
        </w:tc>
        <w:tc>
          <w:tcPr>
            <w:tcW w:w="1380" w:type="dxa"/>
            <w:vAlign w:val="center"/>
          </w:tcPr>
          <w:p w:rsidR="00F57F0B" w:rsidRDefault="00325CD2">
            <w:pPr>
              <w:shd w:val="clear" w:color="auto" w:fill="FFFFFF"/>
              <w:jc w:val="center"/>
              <w:rPr>
                <w:rFonts w:eastAsia="宋体"/>
              </w:rPr>
            </w:pPr>
            <w:r>
              <w:rPr>
                <w:rFonts w:ascii="Times New Roman" w:eastAsia="宋体" w:hAnsi="Times New Roman" w:cs="宋体" w:hint="eastAsia"/>
                <w:b/>
                <w:bCs/>
                <w:sz w:val="22"/>
              </w:rPr>
              <w:t>上年末净</w:t>
            </w:r>
            <w:r>
              <w:rPr>
                <w:rFonts w:hint="eastAsia"/>
                <w:b/>
                <w:bCs/>
              </w:rPr>
              <w:t>值</w:t>
            </w:r>
          </w:p>
        </w:tc>
        <w:tc>
          <w:tcPr>
            <w:tcW w:w="1354" w:type="dxa"/>
            <w:vAlign w:val="center"/>
          </w:tcPr>
          <w:p w:rsidR="00F57F0B" w:rsidRDefault="00325CD2">
            <w:pPr>
              <w:shd w:val="clear" w:color="auto" w:fill="FFFFFF"/>
              <w:jc w:val="center"/>
              <w:rPr>
                <w:rFonts w:eastAsia="宋体"/>
              </w:rPr>
            </w:pPr>
            <w:r>
              <w:rPr>
                <w:rFonts w:cs="宋体" w:hint="eastAsia"/>
                <w:b/>
                <w:bCs/>
                <w:sz w:val="22"/>
              </w:rPr>
              <w:t>本</w:t>
            </w:r>
            <w:r>
              <w:rPr>
                <w:rFonts w:cs="宋体"/>
                <w:b/>
                <w:bCs/>
                <w:sz w:val="22"/>
              </w:rPr>
              <w:t>年末</w:t>
            </w:r>
            <w:r>
              <w:rPr>
                <w:rFonts w:cs="宋体" w:hint="eastAsia"/>
                <w:b/>
                <w:bCs/>
                <w:sz w:val="22"/>
              </w:rPr>
              <w:t>净值</w:t>
            </w:r>
          </w:p>
        </w:tc>
        <w:tc>
          <w:tcPr>
            <w:tcW w:w="1278" w:type="dxa"/>
            <w:vAlign w:val="center"/>
          </w:tcPr>
          <w:p w:rsidR="00F57F0B" w:rsidRDefault="00325CD2">
            <w:pPr>
              <w:shd w:val="clear" w:color="auto" w:fill="FFFFFF"/>
              <w:jc w:val="center"/>
            </w:pPr>
            <w:r>
              <w:rPr>
                <w:rFonts w:cs="宋体" w:hint="eastAsia"/>
                <w:b/>
                <w:bCs/>
                <w:sz w:val="22"/>
              </w:rPr>
              <w:t>增减</w:t>
            </w:r>
            <w:r>
              <w:rPr>
                <w:rFonts w:cs="宋体"/>
                <w:b/>
                <w:bCs/>
                <w:sz w:val="22"/>
              </w:rPr>
              <w:t>额</w:t>
            </w:r>
          </w:p>
        </w:tc>
        <w:tc>
          <w:tcPr>
            <w:tcW w:w="1305" w:type="dxa"/>
            <w:vAlign w:val="center"/>
          </w:tcPr>
          <w:p w:rsidR="00F57F0B" w:rsidRDefault="00325CD2">
            <w:pPr>
              <w:shd w:val="clear" w:color="auto" w:fill="FFFFFF"/>
              <w:jc w:val="center"/>
            </w:pPr>
            <w:r>
              <w:rPr>
                <w:rFonts w:cs="宋体" w:hint="eastAsia"/>
                <w:b/>
                <w:bCs/>
                <w:sz w:val="22"/>
              </w:rPr>
              <w:t>增减</w:t>
            </w:r>
            <w:r>
              <w:rPr>
                <w:rFonts w:cs="宋体"/>
                <w:b/>
                <w:bCs/>
                <w:sz w:val="22"/>
              </w:rPr>
              <w:t>率</w:t>
            </w:r>
          </w:p>
        </w:tc>
      </w:tr>
      <w:tr w:rsidR="00F57F0B">
        <w:trPr>
          <w:trHeight w:hRule="exact" w:val="454"/>
          <w:jc w:val="center"/>
        </w:trPr>
        <w:tc>
          <w:tcPr>
            <w:tcW w:w="736" w:type="dxa"/>
            <w:vMerge/>
            <w:vAlign w:val="center"/>
          </w:tcPr>
          <w:p w:rsidR="00F57F0B" w:rsidRDefault="00F57F0B">
            <w:pPr>
              <w:jc w:val="center"/>
            </w:pPr>
          </w:p>
        </w:tc>
        <w:tc>
          <w:tcPr>
            <w:tcW w:w="2701" w:type="dxa"/>
            <w:vAlign w:val="center"/>
          </w:tcPr>
          <w:p w:rsidR="00F57F0B" w:rsidRDefault="00325CD2">
            <w:pPr>
              <w:shd w:val="clear" w:color="auto" w:fill="FFFFFF"/>
              <w:jc w:val="center"/>
            </w:pPr>
            <w:r>
              <w:rPr>
                <w:rFonts w:cs="宋体"/>
                <w:b/>
                <w:bCs/>
                <w:sz w:val="22"/>
              </w:rPr>
              <w:t>栏</w:t>
            </w:r>
            <w:r>
              <w:rPr>
                <w:rFonts w:hint="eastAsia"/>
                <w:b/>
                <w:bCs/>
                <w:sz w:val="22"/>
              </w:rPr>
              <w:t xml:space="preserve">    </w:t>
            </w:r>
            <w:r>
              <w:rPr>
                <w:rFonts w:cs="宋体"/>
                <w:b/>
                <w:bCs/>
                <w:sz w:val="22"/>
              </w:rPr>
              <w:t>次</w:t>
            </w:r>
          </w:p>
        </w:tc>
        <w:tc>
          <w:tcPr>
            <w:tcW w:w="1380" w:type="dxa"/>
            <w:vAlign w:val="center"/>
          </w:tcPr>
          <w:p w:rsidR="00F57F0B" w:rsidRDefault="00325CD2">
            <w:pPr>
              <w:shd w:val="clear" w:color="auto" w:fill="FFFFFF"/>
              <w:jc w:val="center"/>
            </w:pPr>
            <w:r>
              <w:rPr>
                <w:b/>
                <w:bCs/>
                <w:sz w:val="22"/>
              </w:rPr>
              <w:t>1</w:t>
            </w:r>
          </w:p>
        </w:tc>
        <w:tc>
          <w:tcPr>
            <w:tcW w:w="1354" w:type="dxa"/>
            <w:vAlign w:val="center"/>
          </w:tcPr>
          <w:p w:rsidR="00F57F0B" w:rsidRDefault="00325CD2">
            <w:pPr>
              <w:shd w:val="clear" w:color="auto" w:fill="FFFFFF"/>
              <w:jc w:val="center"/>
            </w:pPr>
            <w:r>
              <w:rPr>
                <w:b/>
                <w:bCs/>
                <w:sz w:val="22"/>
              </w:rPr>
              <w:t>2</w:t>
            </w:r>
          </w:p>
        </w:tc>
        <w:tc>
          <w:tcPr>
            <w:tcW w:w="1278" w:type="dxa"/>
            <w:vAlign w:val="center"/>
          </w:tcPr>
          <w:p w:rsidR="00F57F0B" w:rsidRDefault="00325CD2">
            <w:pPr>
              <w:shd w:val="clear" w:color="auto" w:fill="FFFFFF"/>
              <w:jc w:val="center"/>
            </w:pPr>
            <w:r>
              <w:rPr>
                <w:b/>
                <w:bCs/>
                <w:sz w:val="22"/>
              </w:rPr>
              <w:t>3</w:t>
            </w:r>
          </w:p>
        </w:tc>
        <w:tc>
          <w:tcPr>
            <w:tcW w:w="1305" w:type="dxa"/>
            <w:vAlign w:val="center"/>
          </w:tcPr>
          <w:p w:rsidR="00F57F0B" w:rsidRDefault="00325CD2">
            <w:pPr>
              <w:shd w:val="clear" w:color="auto" w:fill="FFFFFF"/>
              <w:jc w:val="center"/>
            </w:pPr>
            <w:r>
              <w:rPr>
                <w:b/>
                <w:bCs/>
                <w:sz w:val="22"/>
              </w:rPr>
              <w:t>4</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1</w:t>
            </w:r>
          </w:p>
        </w:tc>
        <w:tc>
          <w:tcPr>
            <w:tcW w:w="2701" w:type="dxa"/>
            <w:vAlign w:val="center"/>
          </w:tcPr>
          <w:p w:rsidR="00F57F0B" w:rsidRDefault="00325CD2">
            <w:pPr>
              <w:shd w:val="clear" w:color="auto" w:fill="FFFFFF"/>
            </w:pPr>
            <w:r>
              <w:rPr>
                <w:rFonts w:cs="宋体"/>
                <w:sz w:val="22"/>
              </w:rPr>
              <w:t> </w:t>
            </w:r>
            <w:r>
              <w:rPr>
                <w:rFonts w:cs="宋体" w:hint="eastAsia"/>
                <w:sz w:val="22"/>
              </w:rPr>
              <w:t>房屋及构筑物</w:t>
            </w:r>
          </w:p>
        </w:tc>
        <w:tc>
          <w:tcPr>
            <w:tcW w:w="1380" w:type="dxa"/>
            <w:vAlign w:val="center"/>
          </w:tcPr>
          <w:p w:rsidR="00F57F0B" w:rsidRDefault="00325CD2">
            <w:pPr>
              <w:shd w:val="clear" w:color="auto" w:fill="FFFFFF"/>
              <w:jc w:val="right"/>
            </w:pPr>
            <w:r>
              <w:rPr>
                <w:rFonts w:hint="eastAsia"/>
                <w:sz w:val="22"/>
              </w:rPr>
              <w:t>164,346.77</w:t>
            </w:r>
          </w:p>
        </w:tc>
        <w:tc>
          <w:tcPr>
            <w:tcW w:w="1354" w:type="dxa"/>
            <w:vAlign w:val="center"/>
          </w:tcPr>
          <w:p w:rsidR="00F57F0B" w:rsidRDefault="00325CD2">
            <w:pPr>
              <w:shd w:val="clear" w:color="auto" w:fill="FFFFFF"/>
              <w:jc w:val="right"/>
            </w:pPr>
            <w:r>
              <w:rPr>
                <w:rFonts w:hint="eastAsia"/>
                <w:sz w:val="22"/>
              </w:rPr>
              <w:t>165,419.41</w:t>
            </w:r>
          </w:p>
        </w:tc>
        <w:tc>
          <w:tcPr>
            <w:tcW w:w="1278" w:type="dxa"/>
            <w:vAlign w:val="center"/>
          </w:tcPr>
          <w:p w:rsidR="00F57F0B" w:rsidRDefault="00325CD2">
            <w:pPr>
              <w:shd w:val="clear" w:color="auto" w:fill="FFFFFF"/>
              <w:jc w:val="right"/>
            </w:pPr>
            <w:r>
              <w:rPr>
                <w:rFonts w:hint="eastAsia"/>
                <w:sz w:val="22"/>
              </w:rPr>
              <w:t>1,072.64</w:t>
            </w:r>
          </w:p>
        </w:tc>
        <w:tc>
          <w:tcPr>
            <w:tcW w:w="1305" w:type="dxa"/>
            <w:vAlign w:val="center"/>
          </w:tcPr>
          <w:p w:rsidR="00F57F0B" w:rsidRDefault="00325CD2">
            <w:pPr>
              <w:shd w:val="clear" w:color="auto" w:fill="FFFFFF"/>
              <w:jc w:val="right"/>
            </w:pPr>
            <w:r>
              <w:rPr>
                <w:rFonts w:hint="eastAsia"/>
                <w:sz w:val="22"/>
              </w:rPr>
              <w:t>0.65</w:t>
            </w:r>
            <w:r>
              <w:rPr>
                <w:sz w:val="22"/>
              </w:rPr>
              <w:t>%</w:t>
            </w:r>
          </w:p>
        </w:tc>
      </w:tr>
      <w:tr w:rsidR="00F57F0B">
        <w:trPr>
          <w:trHeight w:hRule="exact" w:val="454"/>
          <w:jc w:val="center"/>
        </w:trPr>
        <w:tc>
          <w:tcPr>
            <w:tcW w:w="736" w:type="dxa"/>
            <w:vAlign w:val="center"/>
          </w:tcPr>
          <w:p w:rsidR="00F57F0B" w:rsidRDefault="00325CD2">
            <w:pPr>
              <w:shd w:val="clear" w:color="auto" w:fill="FFFFFF"/>
              <w:jc w:val="center"/>
            </w:pPr>
            <w:r>
              <w:rPr>
                <w:sz w:val="22"/>
              </w:rPr>
              <w:t>2</w:t>
            </w:r>
          </w:p>
        </w:tc>
        <w:tc>
          <w:tcPr>
            <w:tcW w:w="2701" w:type="dxa"/>
            <w:vAlign w:val="center"/>
          </w:tcPr>
          <w:p w:rsidR="00F57F0B" w:rsidRDefault="00325CD2">
            <w:pPr>
              <w:shd w:val="clear" w:color="auto" w:fill="FFFFFF"/>
            </w:pPr>
            <w:r>
              <w:rPr>
                <w:rFonts w:cs="宋体"/>
                <w:sz w:val="22"/>
              </w:rPr>
              <w:t> </w:t>
            </w:r>
            <w:r>
              <w:rPr>
                <w:rFonts w:cs="宋体" w:hint="eastAsia"/>
                <w:sz w:val="22"/>
              </w:rPr>
              <w:t>仪器设备</w:t>
            </w:r>
          </w:p>
        </w:tc>
        <w:tc>
          <w:tcPr>
            <w:tcW w:w="1380" w:type="dxa"/>
            <w:vAlign w:val="center"/>
          </w:tcPr>
          <w:p w:rsidR="00F57F0B" w:rsidRDefault="00325CD2">
            <w:pPr>
              <w:shd w:val="clear" w:color="auto" w:fill="FFFFFF"/>
              <w:jc w:val="right"/>
            </w:pPr>
            <w:r>
              <w:rPr>
                <w:rFonts w:hint="eastAsia"/>
              </w:rPr>
              <w:t>47,526.40</w:t>
            </w:r>
          </w:p>
        </w:tc>
        <w:tc>
          <w:tcPr>
            <w:tcW w:w="1354" w:type="dxa"/>
            <w:vAlign w:val="center"/>
          </w:tcPr>
          <w:p w:rsidR="00F57F0B" w:rsidRDefault="00325CD2">
            <w:pPr>
              <w:shd w:val="clear" w:color="auto" w:fill="FFFFFF"/>
              <w:jc w:val="right"/>
            </w:pPr>
            <w:r>
              <w:rPr>
                <w:rFonts w:hint="eastAsia"/>
              </w:rPr>
              <w:t>55,029.28</w:t>
            </w:r>
          </w:p>
        </w:tc>
        <w:tc>
          <w:tcPr>
            <w:tcW w:w="1278" w:type="dxa"/>
            <w:vAlign w:val="center"/>
          </w:tcPr>
          <w:p w:rsidR="00F57F0B" w:rsidRDefault="00325CD2">
            <w:pPr>
              <w:shd w:val="clear" w:color="auto" w:fill="FFFFFF"/>
              <w:jc w:val="right"/>
            </w:pPr>
            <w:r>
              <w:rPr>
                <w:rFonts w:hint="eastAsia"/>
              </w:rPr>
              <w:t>7,502.88</w:t>
            </w:r>
          </w:p>
        </w:tc>
        <w:tc>
          <w:tcPr>
            <w:tcW w:w="1305" w:type="dxa"/>
            <w:vAlign w:val="center"/>
          </w:tcPr>
          <w:p w:rsidR="00F57F0B" w:rsidRDefault="00325CD2">
            <w:pPr>
              <w:shd w:val="clear" w:color="auto" w:fill="FFFFFF"/>
              <w:jc w:val="right"/>
            </w:pPr>
            <w:r>
              <w:rPr>
                <w:rFonts w:hint="eastAsia"/>
                <w:sz w:val="22"/>
              </w:rPr>
              <w:t>15.79</w:t>
            </w:r>
            <w:r>
              <w:rPr>
                <w:sz w:val="22"/>
              </w:rPr>
              <w:t>%</w:t>
            </w:r>
          </w:p>
        </w:tc>
      </w:tr>
      <w:tr w:rsidR="00F57F0B">
        <w:trPr>
          <w:trHeight w:hRule="exact" w:val="454"/>
          <w:jc w:val="center"/>
        </w:trPr>
        <w:tc>
          <w:tcPr>
            <w:tcW w:w="736" w:type="dxa"/>
            <w:vAlign w:val="center"/>
          </w:tcPr>
          <w:p w:rsidR="00F57F0B" w:rsidRDefault="00F57F0B">
            <w:pPr>
              <w:shd w:val="clear" w:color="auto" w:fill="FFFFFF"/>
              <w:jc w:val="center"/>
            </w:pPr>
          </w:p>
        </w:tc>
        <w:tc>
          <w:tcPr>
            <w:tcW w:w="2701" w:type="dxa"/>
            <w:vAlign w:val="center"/>
          </w:tcPr>
          <w:p w:rsidR="00F57F0B" w:rsidRDefault="00325CD2">
            <w:pPr>
              <w:shd w:val="clear" w:color="auto" w:fill="FFFFFF"/>
              <w:ind w:firstLineChars="100" w:firstLine="220"/>
              <w:rPr>
                <w:rFonts w:cs="宋体"/>
                <w:sz w:val="22"/>
              </w:rPr>
            </w:pPr>
            <w:r>
              <w:rPr>
                <w:rFonts w:cs="宋体" w:hint="eastAsia"/>
                <w:sz w:val="22"/>
              </w:rPr>
              <w:t>其中：通用设备</w:t>
            </w:r>
          </w:p>
        </w:tc>
        <w:tc>
          <w:tcPr>
            <w:tcW w:w="1380" w:type="dxa"/>
            <w:vAlign w:val="center"/>
          </w:tcPr>
          <w:p w:rsidR="00F57F0B" w:rsidRDefault="00325CD2">
            <w:pPr>
              <w:shd w:val="clear" w:color="auto" w:fill="FFFFFF"/>
              <w:jc w:val="right"/>
              <w:rPr>
                <w:sz w:val="22"/>
              </w:rPr>
            </w:pPr>
            <w:r>
              <w:rPr>
                <w:rFonts w:hint="eastAsia"/>
                <w:sz w:val="22"/>
              </w:rPr>
              <w:t>35,102.78</w:t>
            </w:r>
          </w:p>
        </w:tc>
        <w:tc>
          <w:tcPr>
            <w:tcW w:w="1354" w:type="dxa"/>
            <w:vAlign w:val="center"/>
          </w:tcPr>
          <w:p w:rsidR="00F57F0B" w:rsidRDefault="00325CD2">
            <w:pPr>
              <w:shd w:val="clear" w:color="auto" w:fill="FFFFFF"/>
              <w:jc w:val="right"/>
              <w:rPr>
                <w:sz w:val="22"/>
              </w:rPr>
            </w:pPr>
            <w:r>
              <w:rPr>
                <w:rFonts w:hint="eastAsia"/>
                <w:sz w:val="22"/>
              </w:rPr>
              <w:t>40,517.47</w:t>
            </w:r>
          </w:p>
        </w:tc>
        <w:tc>
          <w:tcPr>
            <w:tcW w:w="1278" w:type="dxa"/>
            <w:vAlign w:val="center"/>
          </w:tcPr>
          <w:p w:rsidR="00F57F0B" w:rsidRDefault="00325CD2">
            <w:pPr>
              <w:shd w:val="clear" w:color="auto" w:fill="FFFFFF"/>
              <w:jc w:val="right"/>
              <w:rPr>
                <w:sz w:val="22"/>
              </w:rPr>
            </w:pPr>
            <w:r>
              <w:rPr>
                <w:rFonts w:hint="eastAsia"/>
                <w:sz w:val="22"/>
              </w:rPr>
              <w:t>5,414.69</w:t>
            </w:r>
          </w:p>
        </w:tc>
        <w:tc>
          <w:tcPr>
            <w:tcW w:w="1305" w:type="dxa"/>
            <w:vAlign w:val="center"/>
          </w:tcPr>
          <w:p w:rsidR="00F57F0B" w:rsidRDefault="00325CD2">
            <w:pPr>
              <w:shd w:val="clear" w:color="auto" w:fill="FFFFFF"/>
              <w:jc w:val="right"/>
              <w:rPr>
                <w:sz w:val="22"/>
              </w:rPr>
            </w:pPr>
            <w:r>
              <w:rPr>
                <w:rFonts w:hint="eastAsia"/>
                <w:sz w:val="22"/>
              </w:rPr>
              <w:t>15.42%</w:t>
            </w:r>
          </w:p>
        </w:tc>
      </w:tr>
      <w:tr w:rsidR="00F57F0B">
        <w:trPr>
          <w:trHeight w:hRule="exact" w:val="454"/>
          <w:jc w:val="center"/>
        </w:trPr>
        <w:tc>
          <w:tcPr>
            <w:tcW w:w="736" w:type="dxa"/>
            <w:vAlign w:val="center"/>
          </w:tcPr>
          <w:p w:rsidR="00F57F0B" w:rsidRDefault="00F57F0B">
            <w:pPr>
              <w:shd w:val="clear" w:color="auto" w:fill="FFFFFF"/>
              <w:jc w:val="center"/>
            </w:pPr>
          </w:p>
        </w:tc>
        <w:tc>
          <w:tcPr>
            <w:tcW w:w="2701" w:type="dxa"/>
            <w:vAlign w:val="center"/>
          </w:tcPr>
          <w:p w:rsidR="00F57F0B" w:rsidRDefault="00325CD2">
            <w:pPr>
              <w:shd w:val="clear" w:color="auto" w:fill="FFFFFF"/>
              <w:rPr>
                <w:rFonts w:cs="宋体"/>
                <w:sz w:val="22"/>
              </w:rPr>
            </w:pPr>
            <w:r>
              <w:rPr>
                <w:rFonts w:cs="宋体" w:hint="eastAsia"/>
                <w:sz w:val="22"/>
              </w:rPr>
              <w:t xml:space="preserve">        </w:t>
            </w:r>
            <w:r>
              <w:rPr>
                <w:rFonts w:cs="宋体" w:hint="eastAsia"/>
                <w:sz w:val="22"/>
              </w:rPr>
              <w:t>专用设备</w:t>
            </w:r>
          </w:p>
        </w:tc>
        <w:tc>
          <w:tcPr>
            <w:tcW w:w="1380" w:type="dxa"/>
            <w:vAlign w:val="center"/>
          </w:tcPr>
          <w:p w:rsidR="00F57F0B" w:rsidRDefault="00325CD2">
            <w:pPr>
              <w:shd w:val="clear" w:color="auto" w:fill="FFFFFF"/>
              <w:jc w:val="right"/>
              <w:rPr>
                <w:sz w:val="22"/>
              </w:rPr>
            </w:pPr>
            <w:r>
              <w:rPr>
                <w:rFonts w:hint="eastAsia"/>
                <w:sz w:val="22"/>
              </w:rPr>
              <w:t>12,423.62</w:t>
            </w:r>
          </w:p>
        </w:tc>
        <w:tc>
          <w:tcPr>
            <w:tcW w:w="1354" w:type="dxa"/>
            <w:vAlign w:val="center"/>
          </w:tcPr>
          <w:p w:rsidR="00F57F0B" w:rsidRDefault="00325CD2">
            <w:pPr>
              <w:shd w:val="clear" w:color="auto" w:fill="FFFFFF"/>
              <w:jc w:val="right"/>
              <w:rPr>
                <w:sz w:val="22"/>
              </w:rPr>
            </w:pPr>
            <w:r>
              <w:rPr>
                <w:rFonts w:hint="eastAsia"/>
                <w:sz w:val="22"/>
              </w:rPr>
              <w:t>14,511.81</w:t>
            </w:r>
          </w:p>
        </w:tc>
        <w:tc>
          <w:tcPr>
            <w:tcW w:w="1278" w:type="dxa"/>
            <w:vAlign w:val="center"/>
          </w:tcPr>
          <w:p w:rsidR="00F57F0B" w:rsidRDefault="00325CD2">
            <w:pPr>
              <w:shd w:val="clear" w:color="auto" w:fill="FFFFFF"/>
              <w:jc w:val="right"/>
              <w:rPr>
                <w:sz w:val="22"/>
              </w:rPr>
            </w:pPr>
            <w:r>
              <w:rPr>
                <w:rFonts w:hint="eastAsia"/>
                <w:sz w:val="22"/>
              </w:rPr>
              <w:t>2,088.19</w:t>
            </w:r>
          </w:p>
        </w:tc>
        <w:tc>
          <w:tcPr>
            <w:tcW w:w="1305" w:type="dxa"/>
            <w:vAlign w:val="center"/>
          </w:tcPr>
          <w:p w:rsidR="00F57F0B" w:rsidRDefault="00325CD2">
            <w:pPr>
              <w:shd w:val="clear" w:color="auto" w:fill="FFFFFF"/>
              <w:jc w:val="right"/>
              <w:rPr>
                <w:sz w:val="22"/>
              </w:rPr>
            </w:pPr>
            <w:r>
              <w:rPr>
                <w:rFonts w:hint="eastAsia"/>
                <w:sz w:val="22"/>
              </w:rPr>
              <w:t>16.81%</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3</w:t>
            </w:r>
          </w:p>
        </w:tc>
        <w:tc>
          <w:tcPr>
            <w:tcW w:w="2701" w:type="dxa"/>
            <w:vAlign w:val="center"/>
          </w:tcPr>
          <w:p w:rsidR="00F57F0B" w:rsidRDefault="00325CD2">
            <w:pPr>
              <w:shd w:val="clear" w:color="auto" w:fill="FFFFFF"/>
            </w:pPr>
            <w:r>
              <w:rPr>
                <w:rFonts w:cs="宋体"/>
                <w:sz w:val="22"/>
              </w:rPr>
              <w:t> </w:t>
            </w:r>
            <w:r>
              <w:rPr>
                <w:rFonts w:cs="宋体" w:hint="eastAsia"/>
                <w:sz w:val="22"/>
              </w:rPr>
              <w:t>文物和陈列品</w:t>
            </w:r>
          </w:p>
        </w:tc>
        <w:tc>
          <w:tcPr>
            <w:tcW w:w="1380" w:type="dxa"/>
            <w:vAlign w:val="center"/>
          </w:tcPr>
          <w:p w:rsidR="00F57F0B" w:rsidRDefault="00325CD2">
            <w:pPr>
              <w:shd w:val="clear" w:color="auto" w:fill="FFFFFF"/>
              <w:jc w:val="right"/>
            </w:pPr>
            <w:r>
              <w:rPr>
                <w:rFonts w:hint="eastAsia"/>
              </w:rPr>
              <w:t>1,087.77</w:t>
            </w:r>
          </w:p>
        </w:tc>
        <w:tc>
          <w:tcPr>
            <w:tcW w:w="1354" w:type="dxa"/>
            <w:vAlign w:val="center"/>
          </w:tcPr>
          <w:p w:rsidR="00F57F0B" w:rsidRDefault="00325CD2">
            <w:pPr>
              <w:shd w:val="clear" w:color="auto" w:fill="FFFFFF"/>
              <w:jc w:val="right"/>
            </w:pPr>
            <w:r>
              <w:rPr>
                <w:rFonts w:hint="eastAsia"/>
              </w:rPr>
              <w:t>1,196.61</w:t>
            </w:r>
          </w:p>
        </w:tc>
        <w:tc>
          <w:tcPr>
            <w:tcW w:w="1278" w:type="dxa"/>
            <w:vAlign w:val="center"/>
          </w:tcPr>
          <w:p w:rsidR="00F57F0B" w:rsidRDefault="00325CD2">
            <w:pPr>
              <w:shd w:val="clear" w:color="auto" w:fill="FFFFFF"/>
              <w:jc w:val="right"/>
            </w:pPr>
            <w:r>
              <w:rPr>
                <w:rFonts w:hint="eastAsia"/>
              </w:rPr>
              <w:t>108.84</w:t>
            </w:r>
          </w:p>
        </w:tc>
        <w:tc>
          <w:tcPr>
            <w:tcW w:w="1305" w:type="dxa"/>
            <w:vAlign w:val="center"/>
          </w:tcPr>
          <w:p w:rsidR="00F57F0B" w:rsidRDefault="00325CD2">
            <w:pPr>
              <w:shd w:val="clear" w:color="auto" w:fill="FFFFFF"/>
              <w:jc w:val="right"/>
            </w:pPr>
            <w:r>
              <w:rPr>
                <w:rFonts w:hint="eastAsia"/>
                <w:sz w:val="22"/>
              </w:rPr>
              <w:t>10.01</w:t>
            </w:r>
            <w:r>
              <w:rPr>
                <w:sz w:val="22"/>
              </w:rPr>
              <w:t>%</w:t>
            </w:r>
          </w:p>
        </w:tc>
      </w:tr>
      <w:tr w:rsidR="00F57F0B">
        <w:trPr>
          <w:trHeight w:hRule="exact" w:val="454"/>
          <w:jc w:val="center"/>
        </w:trPr>
        <w:tc>
          <w:tcPr>
            <w:tcW w:w="736" w:type="dxa"/>
            <w:vAlign w:val="center"/>
          </w:tcPr>
          <w:p w:rsidR="00F57F0B" w:rsidRDefault="00325CD2">
            <w:pPr>
              <w:shd w:val="clear" w:color="auto" w:fill="FFFFFF"/>
              <w:jc w:val="center"/>
            </w:pPr>
            <w:r>
              <w:rPr>
                <w:rFonts w:hint="eastAsia"/>
              </w:rPr>
              <w:t>4</w:t>
            </w:r>
          </w:p>
        </w:tc>
        <w:tc>
          <w:tcPr>
            <w:tcW w:w="2701" w:type="dxa"/>
            <w:vAlign w:val="center"/>
          </w:tcPr>
          <w:p w:rsidR="00F57F0B" w:rsidRDefault="00325CD2">
            <w:pPr>
              <w:shd w:val="clear" w:color="auto" w:fill="FFFFFF"/>
              <w:rPr>
                <w:rFonts w:cs="宋体"/>
                <w:sz w:val="22"/>
              </w:rPr>
            </w:pPr>
            <w:r>
              <w:rPr>
                <w:rFonts w:cs="宋体" w:hint="eastAsia"/>
                <w:sz w:val="22"/>
              </w:rPr>
              <w:t>图书档案</w:t>
            </w:r>
          </w:p>
        </w:tc>
        <w:tc>
          <w:tcPr>
            <w:tcW w:w="1380" w:type="dxa"/>
            <w:vAlign w:val="center"/>
          </w:tcPr>
          <w:p w:rsidR="00F57F0B" w:rsidRDefault="00325CD2">
            <w:pPr>
              <w:shd w:val="clear" w:color="auto" w:fill="FFFFFF"/>
              <w:jc w:val="right"/>
              <w:rPr>
                <w:sz w:val="22"/>
              </w:rPr>
            </w:pPr>
            <w:r>
              <w:rPr>
                <w:rFonts w:hint="eastAsia"/>
                <w:sz w:val="22"/>
              </w:rPr>
              <w:t>12,875.09</w:t>
            </w:r>
          </w:p>
        </w:tc>
        <w:tc>
          <w:tcPr>
            <w:tcW w:w="1354" w:type="dxa"/>
            <w:vAlign w:val="center"/>
          </w:tcPr>
          <w:p w:rsidR="00F57F0B" w:rsidRDefault="00325CD2">
            <w:pPr>
              <w:shd w:val="clear" w:color="auto" w:fill="FFFFFF"/>
              <w:jc w:val="right"/>
              <w:rPr>
                <w:sz w:val="22"/>
              </w:rPr>
            </w:pPr>
            <w:r>
              <w:rPr>
                <w:rFonts w:hint="eastAsia"/>
                <w:sz w:val="22"/>
              </w:rPr>
              <w:t>13,045.27</w:t>
            </w:r>
          </w:p>
        </w:tc>
        <w:tc>
          <w:tcPr>
            <w:tcW w:w="1278" w:type="dxa"/>
            <w:vAlign w:val="center"/>
          </w:tcPr>
          <w:p w:rsidR="00F57F0B" w:rsidRDefault="00325CD2">
            <w:pPr>
              <w:shd w:val="clear" w:color="auto" w:fill="FFFFFF"/>
              <w:jc w:val="right"/>
              <w:rPr>
                <w:sz w:val="22"/>
              </w:rPr>
            </w:pPr>
            <w:r>
              <w:rPr>
                <w:rFonts w:hint="eastAsia"/>
                <w:sz w:val="22"/>
              </w:rPr>
              <w:t>170.18</w:t>
            </w:r>
          </w:p>
        </w:tc>
        <w:tc>
          <w:tcPr>
            <w:tcW w:w="1305" w:type="dxa"/>
            <w:vAlign w:val="center"/>
          </w:tcPr>
          <w:p w:rsidR="00F57F0B" w:rsidRDefault="00325CD2">
            <w:pPr>
              <w:shd w:val="clear" w:color="auto" w:fill="FFFFFF"/>
              <w:jc w:val="right"/>
              <w:rPr>
                <w:sz w:val="22"/>
              </w:rPr>
            </w:pPr>
            <w:r>
              <w:rPr>
                <w:rFonts w:hint="eastAsia"/>
                <w:sz w:val="22"/>
              </w:rPr>
              <w:t>1.32%</w:t>
            </w:r>
          </w:p>
        </w:tc>
      </w:tr>
      <w:tr w:rsidR="00F57F0B">
        <w:trPr>
          <w:trHeight w:hRule="exact" w:val="599"/>
          <w:jc w:val="center"/>
        </w:trPr>
        <w:tc>
          <w:tcPr>
            <w:tcW w:w="736" w:type="dxa"/>
            <w:vAlign w:val="center"/>
          </w:tcPr>
          <w:p w:rsidR="00F57F0B" w:rsidRDefault="00325CD2">
            <w:pPr>
              <w:shd w:val="clear" w:color="auto" w:fill="FFFFFF"/>
              <w:jc w:val="center"/>
            </w:pPr>
            <w:r>
              <w:rPr>
                <w:rFonts w:hint="eastAsia"/>
              </w:rPr>
              <w:t>5</w:t>
            </w:r>
          </w:p>
        </w:tc>
        <w:tc>
          <w:tcPr>
            <w:tcW w:w="2701" w:type="dxa"/>
            <w:vAlign w:val="center"/>
          </w:tcPr>
          <w:p w:rsidR="00F57F0B" w:rsidRDefault="00325CD2">
            <w:pPr>
              <w:shd w:val="clear" w:color="auto" w:fill="FFFFFF"/>
              <w:rPr>
                <w:rFonts w:cs="宋体"/>
                <w:sz w:val="22"/>
              </w:rPr>
            </w:pPr>
            <w:r>
              <w:rPr>
                <w:rFonts w:cs="宋体" w:hint="eastAsia"/>
                <w:sz w:val="22"/>
              </w:rPr>
              <w:t>家具、用具、装具及动植物</w:t>
            </w:r>
          </w:p>
        </w:tc>
        <w:tc>
          <w:tcPr>
            <w:tcW w:w="1380" w:type="dxa"/>
            <w:vAlign w:val="center"/>
          </w:tcPr>
          <w:p w:rsidR="00F57F0B" w:rsidRDefault="00325CD2">
            <w:pPr>
              <w:shd w:val="clear" w:color="auto" w:fill="FFFFFF"/>
              <w:jc w:val="right"/>
              <w:rPr>
                <w:rFonts w:cs="宋体"/>
                <w:sz w:val="22"/>
              </w:rPr>
            </w:pPr>
            <w:r>
              <w:rPr>
                <w:rFonts w:hint="eastAsia"/>
                <w:sz w:val="22"/>
              </w:rPr>
              <w:t>10,157.08</w:t>
            </w:r>
          </w:p>
        </w:tc>
        <w:tc>
          <w:tcPr>
            <w:tcW w:w="1354" w:type="dxa"/>
            <w:vAlign w:val="center"/>
          </w:tcPr>
          <w:p w:rsidR="00F57F0B" w:rsidRDefault="00325CD2">
            <w:pPr>
              <w:shd w:val="clear" w:color="auto" w:fill="FFFFFF"/>
              <w:jc w:val="right"/>
              <w:rPr>
                <w:sz w:val="22"/>
              </w:rPr>
            </w:pPr>
            <w:r>
              <w:rPr>
                <w:rFonts w:hint="eastAsia"/>
                <w:sz w:val="22"/>
              </w:rPr>
              <w:t>11,051.96</w:t>
            </w:r>
          </w:p>
        </w:tc>
        <w:tc>
          <w:tcPr>
            <w:tcW w:w="1278" w:type="dxa"/>
            <w:vAlign w:val="center"/>
          </w:tcPr>
          <w:p w:rsidR="00F57F0B" w:rsidRDefault="00325CD2">
            <w:pPr>
              <w:shd w:val="clear" w:color="auto" w:fill="FFFFFF"/>
              <w:jc w:val="right"/>
              <w:rPr>
                <w:sz w:val="22"/>
              </w:rPr>
            </w:pPr>
            <w:r>
              <w:rPr>
                <w:rFonts w:hint="eastAsia"/>
                <w:sz w:val="22"/>
              </w:rPr>
              <w:t>894.88</w:t>
            </w:r>
          </w:p>
        </w:tc>
        <w:tc>
          <w:tcPr>
            <w:tcW w:w="1305" w:type="dxa"/>
            <w:vAlign w:val="center"/>
          </w:tcPr>
          <w:p w:rsidR="00F57F0B" w:rsidRDefault="00325CD2">
            <w:pPr>
              <w:shd w:val="clear" w:color="auto" w:fill="FFFFFF"/>
              <w:jc w:val="right"/>
              <w:rPr>
                <w:sz w:val="22"/>
              </w:rPr>
            </w:pPr>
            <w:r>
              <w:rPr>
                <w:rFonts w:hint="eastAsia"/>
                <w:sz w:val="22"/>
              </w:rPr>
              <w:t>8.81%</w:t>
            </w:r>
          </w:p>
        </w:tc>
      </w:tr>
      <w:tr w:rsidR="00F57F0B">
        <w:trPr>
          <w:trHeight w:hRule="exact" w:val="454"/>
          <w:jc w:val="center"/>
        </w:trPr>
        <w:tc>
          <w:tcPr>
            <w:tcW w:w="3437" w:type="dxa"/>
            <w:gridSpan w:val="2"/>
            <w:vAlign w:val="center"/>
          </w:tcPr>
          <w:p w:rsidR="00F57F0B" w:rsidRDefault="00325CD2">
            <w:pPr>
              <w:shd w:val="clear" w:color="auto" w:fill="FFFFFF"/>
              <w:jc w:val="center"/>
              <w:rPr>
                <w:b/>
                <w:bCs/>
              </w:rPr>
            </w:pPr>
            <w:r>
              <w:rPr>
                <w:rFonts w:cs="宋体"/>
                <w:b/>
                <w:bCs/>
                <w:sz w:val="22"/>
              </w:rPr>
              <w:t>固定资产净值</w:t>
            </w:r>
            <w:r>
              <w:rPr>
                <w:rFonts w:cs="宋体" w:hint="eastAsia"/>
                <w:b/>
                <w:bCs/>
                <w:sz w:val="22"/>
              </w:rPr>
              <w:t>合计</w:t>
            </w:r>
          </w:p>
        </w:tc>
        <w:tc>
          <w:tcPr>
            <w:tcW w:w="1380" w:type="dxa"/>
            <w:vAlign w:val="center"/>
          </w:tcPr>
          <w:p w:rsidR="00F57F0B" w:rsidRDefault="00325CD2">
            <w:pPr>
              <w:shd w:val="clear" w:color="auto" w:fill="FFFFFF"/>
              <w:jc w:val="right"/>
              <w:rPr>
                <w:b/>
                <w:bCs/>
              </w:rPr>
            </w:pPr>
            <w:r>
              <w:rPr>
                <w:b/>
                <w:bCs/>
                <w:sz w:val="22"/>
              </w:rPr>
              <w:t>235,993.11</w:t>
            </w:r>
          </w:p>
        </w:tc>
        <w:tc>
          <w:tcPr>
            <w:tcW w:w="1354" w:type="dxa"/>
            <w:vAlign w:val="center"/>
          </w:tcPr>
          <w:p w:rsidR="00F57F0B" w:rsidRDefault="00325CD2">
            <w:pPr>
              <w:shd w:val="clear" w:color="auto" w:fill="FFFFFF"/>
              <w:jc w:val="right"/>
              <w:rPr>
                <w:b/>
                <w:bCs/>
              </w:rPr>
            </w:pPr>
            <w:r>
              <w:rPr>
                <w:b/>
                <w:bCs/>
                <w:sz w:val="22"/>
              </w:rPr>
              <w:t>245,742.53</w:t>
            </w:r>
          </w:p>
        </w:tc>
        <w:tc>
          <w:tcPr>
            <w:tcW w:w="1278" w:type="dxa"/>
            <w:vAlign w:val="center"/>
          </w:tcPr>
          <w:p w:rsidR="00F57F0B" w:rsidRDefault="00325CD2">
            <w:pPr>
              <w:shd w:val="clear" w:color="auto" w:fill="FFFFFF"/>
              <w:jc w:val="right"/>
              <w:rPr>
                <w:b/>
                <w:bCs/>
              </w:rPr>
            </w:pPr>
            <w:r>
              <w:rPr>
                <w:b/>
                <w:bCs/>
                <w:sz w:val="22"/>
              </w:rPr>
              <w:t>9,749.42</w:t>
            </w:r>
          </w:p>
        </w:tc>
        <w:tc>
          <w:tcPr>
            <w:tcW w:w="1305" w:type="dxa"/>
            <w:vAlign w:val="center"/>
          </w:tcPr>
          <w:p w:rsidR="00F57F0B" w:rsidRDefault="00325CD2">
            <w:pPr>
              <w:shd w:val="clear" w:color="auto" w:fill="FFFFFF"/>
              <w:jc w:val="right"/>
              <w:rPr>
                <w:b/>
                <w:bCs/>
              </w:rPr>
            </w:pPr>
            <w:r>
              <w:rPr>
                <w:b/>
                <w:bCs/>
                <w:sz w:val="22"/>
              </w:rPr>
              <w:t>4.13%</w:t>
            </w:r>
          </w:p>
        </w:tc>
      </w:tr>
    </w:tbl>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（1）房屋及构筑物原值28.30亿元，累计折旧11.76亿元，净值 16.54亿元，（其中房屋125.93万㎡，净值 15.76亿元），较上年增加面积2.16万㎡，净值增加0.11亿元，增长了0.65% ；</w:t>
      </w:r>
    </w:p>
    <w:p w:rsidR="00F57F0B" w:rsidRDefault="00325CD2">
      <w:pPr>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（2）仪器设备13.44万台（件），原值18.64亿元，累计折旧13.14亿元，净值5.50亿元，较上年数量净增加4918台（件），净值增加0.75亿元，增长了15.79%。其中：</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通用设备 11.46万台（件），原值14.64亿元，累计折旧10.59亿元，净值4.05亿元（其中单价 50万（含）以上</w:t>
      </w:r>
      <w:r>
        <w:rPr>
          <w:rFonts w:ascii="仿宋_GB2312" w:eastAsia="仿宋_GB2312" w:hint="eastAsia"/>
          <w:sz w:val="32"/>
          <w:szCs w:val="32"/>
        </w:rPr>
        <w:lastRenderedPageBreak/>
        <w:t>设</w:t>
      </w:r>
      <w:r>
        <w:rPr>
          <w:rFonts w:ascii="仿宋" w:eastAsia="仿宋" w:hAnsi="仿宋" w:cs="Courier New" w:hint="eastAsia"/>
          <w:sz w:val="32"/>
          <w:szCs w:val="32"/>
        </w:rPr>
        <w:t>备277台、价值</w:t>
      </w:r>
      <w:r>
        <w:rPr>
          <w:rFonts w:ascii="仿宋_GB2312" w:eastAsia="仿宋_GB2312" w:hint="eastAsia"/>
          <w:sz w:val="32"/>
          <w:szCs w:val="32"/>
        </w:rPr>
        <w:t xml:space="preserve"> 1.14亿元），较上年数量净增加3795台（件），净值增加0.54亿元，增长了15.42% ；</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专用设备1.93万台（件），原值4亿元，累计折旧2.55亿元，净值 1.45亿元（其中单价100万（含）以上设备31台、 价值1,879.82万元），较上年数量净增加1123台（件），净值增加0.21亿元，增长了16.81% ； </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（3）文物和陈列品643件，价值1,196.61 万元，较上年增加29件、 108.84万元，增长了10.01%； </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（4）图书档案497.02万册（本、套），价值1.30亿元，较上年增加4.64万册、170.18万元，增长了1.32% ；</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（5）家具、用具、装具及动植物39.98万个（件、套） ，原值2.33亿元，累计折旧1.22亿元，净值1.11亿元，较上年增加 1.49万个（件、套）、净值增加894.88万元，增长了8.81%。</w:t>
      </w:r>
    </w:p>
    <w:p w:rsidR="00F57F0B" w:rsidRDefault="00325CD2">
      <w:pPr>
        <w:spacing w:line="600" w:lineRule="exact"/>
        <w:ind w:firstLineChars="200" w:firstLine="643"/>
        <w:rPr>
          <w:rFonts w:ascii="黑体" w:eastAsia="黑体" w:hAnsi="黑体" w:cs="黑体"/>
          <w:sz w:val="32"/>
          <w:szCs w:val="32"/>
        </w:rPr>
      </w:pPr>
      <w:r>
        <w:rPr>
          <w:rFonts w:ascii="仿宋_GB2312" w:eastAsia="仿宋_GB2312" w:hAnsi="仿宋_GB2312" w:cs="仿宋_GB2312" w:hint="eastAsia"/>
          <w:b/>
          <w:bCs/>
          <w:sz w:val="32"/>
          <w:szCs w:val="32"/>
        </w:rPr>
        <w:t>2.无形资产构成及变动情况</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2020年12月31日，无形资产原值2.22亿元，较上年增加779.67万元，累计摊销0.34亿元，较上年增加466.04万元，无形资产净值 1.88亿元，占非流动资产的 5.94%，较上年增加313.62万元，增长了1.69% 。其中：</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（1）土地79宗，3,734.24万㎡，账面价值1.48亿元；</w:t>
      </w:r>
    </w:p>
    <w:p w:rsidR="00F57F0B" w:rsidRDefault="00325CD2">
      <w:pPr>
        <w:spacing w:line="600" w:lineRule="exact"/>
        <w:rPr>
          <w:rFonts w:ascii="仿宋_GB2312" w:eastAsia="仿宋_GB2312"/>
          <w:sz w:val="32"/>
          <w:szCs w:val="32"/>
        </w:rPr>
      </w:pPr>
      <w:r>
        <w:rPr>
          <w:rFonts w:ascii="仿宋_GB2312" w:eastAsia="仿宋_GB2312" w:hint="eastAsia"/>
          <w:sz w:val="32"/>
          <w:szCs w:val="32"/>
        </w:rPr>
        <w:t xml:space="preserve">    （2）计算机软件1,246件，净值0.40亿元，较上年增加289件，净值增长8.11%。</w:t>
      </w:r>
    </w:p>
    <w:p w:rsidR="00F57F0B" w:rsidRDefault="00325CD2">
      <w:pPr>
        <w:spacing w:line="600" w:lineRule="exact"/>
        <w:rPr>
          <w:rFonts w:ascii="黑体" w:eastAsia="黑体" w:hAnsi="黑体" w:cs="黑体"/>
          <w:sz w:val="32"/>
          <w:szCs w:val="32"/>
        </w:rPr>
      </w:pPr>
      <w:r>
        <w:rPr>
          <w:rFonts w:ascii="仿宋_GB2312" w:eastAsia="仿宋_GB2312" w:hint="eastAsia"/>
          <w:sz w:val="32"/>
          <w:szCs w:val="32"/>
        </w:rPr>
        <w:t xml:space="preserve">   </w:t>
      </w:r>
      <w:r>
        <w:rPr>
          <w:rFonts w:ascii="仿宋_GB2312" w:eastAsia="仿宋_GB2312" w:hAnsi="仿宋_GB2312" w:cs="仿宋_GB2312" w:hint="eastAsia"/>
          <w:b/>
          <w:bCs/>
          <w:sz w:val="32"/>
          <w:szCs w:val="32"/>
        </w:rPr>
        <w:t>3.其他非流动资产变动情况</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（1）在建工程30项，累计投资4.23亿元，占非流动资产的 13.34%，较上年增加8,131.46万元，增长23.81 % ；</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（2）对外投资7家单位，金额9,661.97 万元 ，全部为长期股权投资，占非流动资产的 3.05%，其中资产经营公司7,943.22万元，</w:t>
      </w:r>
      <w:proofErr w:type="gramStart"/>
      <w:r>
        <w:rPr>
          <w:rFonts w:ascii="仿宋_GB2312" w:eastAsia="仿宋_GB2312" w:hint="eastAsia"/>
          <w:sz w:val="32"/>
          <w:szCs w:val="32"/>
        </w:rPr>
        <w:t>杨凌农科大房地产开发公司</w:t>
      </w:r>
      <w:proofErr w:type="gramEnd"/>
      <w:r>
        <w:rPr>
          <w:rFonts w:ascii="仿宋_GB2312" w:eastAsia="仿宋_GB2312" w:hint="eastAsia"/>
          <w:sz w:val="32"/>
          <w:szCs w:val="32"/>
        </w:rPr>
        <w:t>1,394.15万元（已无偿划转给</w:t>
      </w:r>
      <w:proofErr w:type="gramStart"/>
      <w:r>
        <w:rPr>
          <w:rFonts w:ascii="仿宋_GB2312" w:eastAsia="仿宋_GB2312" w:hint="eastAsia"/>
          <w:sz w:val="32"/>
          <w:szCs w:val="32"/>
        </w:rPr>
        <w:t>杨凌城投</w:t>
      </w:r>
      <w:proofErr w:type="gramEnd"/>
      <w:r>
        <w:rPr>
          <w:rFonts w:ascii="仿宋_GB2312" w:eastAsia="仿宋_GB2312" w:hint="eastAsia"/>
          <w:sz w:val="32"/>
          <w:szCs w:val="32"/>
        </w:rPr>
        <w:t>公司，待批复后核销），印刷厂179.30万元，同力公司69万元，新疆天业节水灌溉股份有限公司40万元（已无偿划转，待核销），原水科所长</w:t>
      </w:r>
      <w:proofErr w:type="gramStart"/>
      <w:r>
        <w:rPr>
          <w:rFonts w:ascii="仿宋_GB2312" w:eastAsia="仿宋_GB2312" w:hint="eastAsia"/>
          <w:sz w:val="32"/>
          <w:szCs w:val="32"/>
        </w:rPr>
        <w:t>宇电子</w:t>
      </w:r>
      <w:proofErr w:type="gramEnd"/>
      <w:r>
        <w:rPr>
          <w:rFonts w:ascii="仿宋_GB2312" w:eastAsia="仿宋_GB2312" w:hint="eastAsia"/>
          <w:sz w:val="32"/>
          <w:szCs w:val="32"/>
        </w:rPr>
        <w:t>电器厂19.30万元，</w:t>
      </w:r>
      <w:proofErr w:type="gramStart"/>
      <w:r>
        <w:rPr>
          <w:rFonts w:ascii="仿宋_GB2312" w:eastAsia="仿宋_GB2312" w:hint="eastAsia"/>
          <w:sz w:val="32"/>
          <w:szCs w:val="32"/>
        </w:rPr>
        <w:t>西远公司</w:t>
      </w:r>
      <w:proofErr w:type="gramEnd"/>
      <w:r>
        <w:rPr>
          <w:rFonts w:ascii="仿宋_GB2312" w:eastAsia="仿宋_GB2312" w:hint="eastAsia"/>
          <w:sz w:val="32"/>
          <w:szCs w:val="32"/>
        </w:rPr>
        <w:t>17万元。较上年净增1094.15万元，增长12.77%，其中新增投资1笔、1394.15万元,被投资人为杨凌农林科大房地产开发有限公司，转让股权减少投资1笔、300万元，为节水中心转让西安航天远征流体控制股份有限公司的股份；</w:t>
      </w:r>
    </w:p>
    <w:p w:rsidR="00F57F0B" w:rsidRDefault="00325CD2">
      <w:pPr>
        <w:spacing w:line="600" w:lineRule="exact"/>
        <w:ind w:firstLineChars="200" w:firstLine="640"/>
        <w:rPr>
          <w:rFonts w:ascii="仿宋" w:eastAsia="仿宋" w:hAnsi="仿宋" w:cs="Courier New"/>
          <w:sz w:val="32"/>
          <w:szCs w:val="32"/>
        </w:rPr>
      </w:pPr>
      <w:r>
        <w:rPr>
          <w:rFonts w:ascii="仿宋" w:eastAsia="仿宋" w:hAnsi="仿宋" w:cs="Courier New" w:hint="eastAsia"/>
          <w:sz w:val="32"/>
          <w:szCs w:val="32"/>
        </w:rPr>
        <w:t>（3）工程物资422.48万元，占非流动资产的0.13%，较上年增加11.19万元，增长2.72%，为基建甲方供应材料库存增加。</w:t>
      </w:r>
    </w:p>
    <w:p w:rsidR="00F57F0B" w:rsidRDefault="00325CD2">
      <w:pPr>
        <w:spacing w:line="600" w:lineRule="exact"/>
        <w:ind w:firstLineChars="200" w:firstLine="640"/>
        <w:rPr>
          <w:rFonts w:ascii="黑体" w:eastAsia="黑体" w:hAnsi="黑体" w:cs="黑体"/>
          <w:sz w:val="32"/>
          <w:szCs w:val="32"/>
        </w:rPr>
      </w:pPr>
      <w:r>
        <w:rPr>
          <w:rFonts w:ascii="仿宋" w:eastAsia="仿宋" w:hAnsi="仿宋" w:cs="Courier New" w:hint="eastAsia"/>
          <w:sz w:val="32"/>
          <w:szCs w:val="32"/>
        </w:rPr>
        <w:t xml:space="preserve"> </w:t>
      </w:r>
      <w:r>
        <w:rPr>
          <w:rFonts w:ascii="黑体" w:eastAsia="黑体" w:hAnsi="黑体" w:cs="黑体" w:hint="eastAsia"/>
          <w:sz w:val="32"/>
          <w:szCs w:val="32"/>
        </w:rPr>
        <w:t>（三）受托代理资产变动情况</w:t>
      </w:r>
    </w:p>
    <w:p w:rsidR="00F57F0B" w:rsidRDefault="00325CD2">
      <w:pPr>
        <w:spacing w:line="600" w:lineRule="exact"/>
        <w:ind w:firstLineChars="200" w:firstLine="640"/>
        <w:rPr>
          <w:rFonts w:ascii="仿宋_GB2312" w:eastAsia="仿宋"/>
          <w:sz w:val="32"/>
          <w:szCs w:val="32"/>
        </w:rPr>
      </w:pPr>
      <w:r>
        <w:rPr>
          <w:rFonts w:ascii="仿宋" w:eastAsia="仿宋" w:hAnsi="仿宋" w:cs="Courier New" w:hint="eastAsia"/>
          <w:sz w:val="32"/>
          <w:szCs w:val="32"/>
        </w:rPr>
        <w:t>2020年12月31日，受托代理资产655.19万元，是代管的党、团费等，占总资产的0.13%，较上年减少16.83%，。</w:t>
      </w:r>
    </w:p>
    <w:p w:rsidR="00F57F0B" w:rsidRDefault="00325CD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二、资产管理情况</w:t>
      </w:r>
    </w:p>
    <w:p w:rsidR="00F57F0B" w:rsidRDefault="00325CD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（一）资产配置情况</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1.固定资产配置情况</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2020 年度我校新增固定资产3.41亿元。其中：</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新增房屋及构筑物2.16万㎡、 8,002.46万元，占 23.47%，主要有南校区实验幼儿园、新天地培训楼、组培楼、水保所门面房、南校区1号、2号加代室、斗口</w:t>
      </w:r>
      <w:proofErr w:type="gramStart"/>
      <w:r>
        <w:rPr>
          <w:rFonts w:ascii="仿宋_GB2312" w:eastAsia="仿宋_GB2312" w:hint="eastAsia"/>
          <w:sz w:val="32"/>
          <w:szCs w:val="32"/>
        </w:rPr>
        <w:t>试验站挂藏室</w:t>
      </w:r>
      <w:proofErr w:type="gramEnd"/>
      <w:r>
        <w:rPr>
          <w:rFonts w:ascii="仿宋_GB2312" w:eastAsia="仿宋_GB2312" w:hint="eastAsia"/>
          <w:sz w:val="32"/>
          <w:szCs w:val="32"/>
        </w:rPr>
        <w:t>、农机库等；</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新增仪器设备9,438台（件），价值2.36亿元，占新增固定资产的69.21%。其中：按仪器设备性能分，新增通用设备8015台（件）、1.82亿元，占 53.37% ；新增专用设备1,423台（件）、5,408.96万元，占 15.84% 。按仪器设备用途分，</w:t>
      </w:r>
      <w:r>
        <w:rPr>
          <w:rFonts w:ascii="仿宋" w:eastAsia="仿宋" w:hAnsi="仿宋" w:cs="Courier New" w:hint="eastAsia"/>
          <w:sz w:val="32"/>
          <w:szCs w:val="32"/>
        </w:rPr>
        <w:t>新增教学仪器设备4,652台（件），价值6,103.02万元，较上年增长6.26%；新增科研仪器设备3,124台（件），价值1.62亿元，较上年增长72.43%</w:t>
      </w:r>
      <w:r>
        <w:rPr>
          <w:rFonts w:ascii="仿宋_GB2312" w:eastAsia="仿宋_GB2312" w:hint="eastAsia"/>
          <w:sz w:val="32"/>
          <w:szCs w:val="32"/>
        </w:rPr>
        <w:t>）；</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新增文物和陈列品29件、109.37 万元，占 0.32 %；</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新增图书档案4.64万册（本、套）、 170.18 万元，占 0.50 %；</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新增家具、用具、装具及动植物 1.49万个（件、套）、2,186.39 万元，占 6.41 % 。</w:t>
      </w:r>
    </w:p>
    <w:p w:rsidR="00F57F0B" w:rsidRDefault="00325CD2">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2.其他资产配置情况</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2020年度我校新增无形资产289项、 895.98 万元，全部为计算机软件。</w:t>
      </w:r>
    </w:p>
    <w:p w:rsidR="00F57F0B" w:rsidRDefault="00325CD2">
      <w:pPr>
        <w:spacing w:line="600" w:lineRule="exact"/>
        <w:ind w:firstLineChars="200" w:firstLine="640"/>
        <w:rPr>
          <w:rFonts w:ascii="仿宋_GB2312" w:eastAsia="仿宋_GB2312"/>
          <w:sz w:val="32"/>
          <w:szCs w:val="32"/>
        </w:rPr>
      </w:pPr>
      <w:r>
        <w:rPr>
          <w:rFonts w:ascii="仿宋_GB2312" w:eastAsia="仿宋_GB2312" w:hint="eastAsia"/>
          <w:sz w:val="32"/>
          <w:szCs w:val="32"/>
        </w:rPr>
        <w:t>新增在建工程支出 8,131.46万元，主要包括水建</w:t>
      </w:r>
      <w:proofErr w:type="gramStart"/>
      <w:r>
        <w:rPr>
          <w:rFonts w:ascii="仿宋_GB2312" w:eastAsia="仿宋_GB2312" w:hint="eastAsia"/>
          <w:sz w:val="32"/>
          <w:szCs w:val="32"/>
        </w:rPr>
        <w:t>学院楼</w:t>
      </w:r>
      <w:proofErr w:type="gramEnd"/>
      <w:r>
        <w:rPr>
          <w:rFonts w:ascii="仿宋_GB2312" w:eastAsia="仿宋_GB2312" w:hint="eastAsia"/>
          <w:sz w:val="32"/>
          <w:szCs w:val="32"/>
        </w:rPr>
        <w:t>3,894.89万元、北校区图书馆2,586.93万元、农民发展学院417.98万元、实验动物中心288.54万元、火地塘林场1号学生宿舍楼261.87万元、农业部物联网重点实验室</w:t>
      </w:r>
      <w:r>
        <w:rPr>
          <w:rFonts w:ascii="仿宋_GB2312" w:eastAsia="仿宋_GB2312" w:hint="eastAsia"/>
          <w:sz w:val="32"/>
          <w:szCs w:val="32"/>
        </w:rPr>
        <w:lastRenderedPageBreak/>
        <w:t>431.89万元等建设工程投资。</w:t>
      </w:r>
    </w:p>
    <w:p w:rsidR="00F57F0B" w:rsidRDefault="00325CD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新增对外投资 1 笔 ，金额 1,394.15万元，是在产业改制过程中将资产经营公司对房地产公司的投资转为学校的投资。</w:t>
      </w:r>
      <w:r>
        <w:rPr>
          <w:rFonts w:ascii="仿宋_GB2312" w:eastAsia="仿宋_GB2312" w:hAnsi="Times New Roman" w:cs="Times New Roman" w:hint="eastAsia"/>
          <w:sz w:val="32"/>
          <w:szCs w:val="32"/>
        </w:rPr>
        <w:t>对外投资减少1笔，金额300万元节,为水中心转让股权。</w:t>
      </w:r>
    </w:p>
    <w:p w:rsidR="00F57F0B" w:rsidRDefault="00325CD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（二）资产使用情况</w:t>
      </w:r>
    </w:p>
    <w:p w:rsidR="00F57F0B" w:rsidRDefault="00325CD2">
      <w:pPr>
        <w:spacing w:line="600" w:lineRule="exact"/>
        <w:ind w:firstLineChars="200" w:firstLine="643"/>
        <w:jc w:val="left"/>
        <w:rPr>
          <w:rFonts w:ascii="仿宋_GB2312" w:eastAsia="仿宋_GB2312"/>
          <w:b/>
          <w:bCs/>
          <w:sz w:val="32"/>
          <w:szCs w:val="32"/>
        </w:rPr>
      </w:pPr>
      <w:r>
        <w:rPr>
          <w:rFonts w:ascii="仿宋_GB2312" w:eastAsia="仿宋_GB2312" w:hint="eastAsia"/>
          <w:b/>
          <w:bCs/>
          <w:sz w:val="32"/>
          <w:szCs w:val="32"/>
        </w:rPr>
        <w:t>1.资产自用情况</w:t>
      </w:r>
    </w:p>
    <w:p w:rsidR="00F57F0B" w:rsidRDefault="00325CD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 xml:space="preserve"> 我校自用固定资产 50.40亿元，占固定资产总额的 99.27 %。无形资产 1.88亿元全部自用 。</w:t>
      </w:r>
    </w:p>
    <w:p w:rsidR="00F57F0B" w:rsidRDefault="00325CD2">
      <w:pPr>
        <w:spacing w:line="600" w:lineRule="exact"/>
        <w:ind w:firstLineChars="200" w:firstLine="643"/>
        <w:jc w:val="left"/>
        <w:rPr>
          <w:rFonts w:ascii="仿宋_GB2312" w:eastAsia="仿宋_GB2312"/>
          <w:sz w:val="32"/>
          <w:szCs w:val="32"/>
        </w:rPr>
      </w:pPr>
      <w:r>
        <w:rPr>
          <w:rFonts w:ascii="仿宋_GB2312" w:eastAsia="仿宋_GB2312" w:hint="eastAsia"/>
          <w:b/>
          <w:bCs/>
          <w:sz w:val="32"/>
          <w:szCs w:val="32"/>
        </w:rPr>
        <w:t>2.资产出租出借及收益情况</w:t>
      </w:r>
    </w:p>
    <w:p w:rsidR="00F57F0B" w:rsidRDefault="00325CD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 xml:space="preserve"> 截至 2020 年 12月31日，我校出租出借资产 3,697.85 万元，占资产总额的 0.73%，全部为固定资产，面积为2.21万㎡。</w:t>
      </w:r>
    </w:p>
    <w:p w:rsidR="00F57F0B" w:rsidRDefault="00325CD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2020 年度，我校资产出租出借收益 265.49万元。</w:t>
      </w:r>
    </w:p>
    <w:p w:rsidR="00F57F0B" w:rsidRDefault="00325CD2">
      <w:pPr>
        <w:spacing w:line="600" w:lineRule="exact"/>
        <w:ind w:firstLineChars="200" w:firstLine="643"/>
        <w:jc w:val="left"/>
        <w:rPr>
          <w:rFonts w:ascii="仿宋_GB2312" w:eastAsia="仿宋_GB2312"/>
          <w:b/>
          <w:bCs/>
          <w:sz w:val="32"/>
          <w:szCs w:val="32"/>
        </w:rPr>
      </w:pPr>
      <w:r>
        <w:rPr>
          <w:rFonts w:ascii="仿宋_GB2312" w:eastAsia="仿宋_GB2312" w:hint="eastAsia"/>
          <w:b/>
          <w:bCs/>
          <w:sz w:val="32"/>
          <w:szCs w:val="32"/>
        </w:rPr>
        <w:t>3.对外投资收益情况</w:t>
      </w:r>
    </w:p>
    <w:p w:rsidR="00F57F0B" w:rsidRDefault="00325CD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2020年投资收益为685.10万元，其中节水中心股权转让收益505.10万元，资产经营公司上交利润 150万元，出版社上交利润30万元。</w:t>
      </w:r>
    </w:p>
    <w:p w:rsidR="00F57F0B" w:rsidRDefault="00325CD2">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（三）资产处置情况</w:t>
      </w:r>
    </w:p>
    <w:p w:rsidR="00F57F0B" w:rsidRDefault="00325CD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2020 年度，我校处置资产原值 3,855.56 万元。按资产类别分 ,固定资产 3,739.25 万元，占 96.98 %；无形资产 116.31 万元，占 3.02 %。从处置形式来看，全部为报废报损 ，</w:t>
      </w:r>
      <w:proofErr w:type="gramStart"/>
      <w:r>
        <w:rPr>
          <w:rFonts w:ascii="仿宋_GB2312" w:eastAsia="仿宋_GB2312" w:hint="eastAsia"/>
          <w:sz w:val="32"/>
          <w:szCs w:val="32"/>
        </w:rPr>
        <w:t>其中报减仪器</w:t>
      </w:r>
      <w:proofErr w:type="gramEnd"/>
      <w:r>
        <w:rPr>
          <w:rFonts w:ascii="仿宋_GB2312" w:eastAsia="仿宋_GB2312" w:hint="eastAsia"/>
          <w:sz w:val="32"/>
          <w:szCs w:val="32"/>
        </w:rPr>
        <w:t>设备4,520台（件），原值3,520.40</w:t>
      </w:r>
      <w:r>
        <w:rPr>
          <w:rFonts w:ascii="仿宋_GB2312" w:eastAsia="仿宋_GB2312" w:hint="eastAsia"/>
          <w:sz w:val="32"/>
          <w:szCs w:val="32"/>
        </w:rPr>
        <w:lastRenderedPageBreak/>
        <w:t>万元；计算机软件31套，116.31万元。</w:t>
      </w:r>
    </w:p>
    <w:p w:rsidR="00F57F0B" w:rsidRDefault="00325CD2">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三、重点资产情况</w:t>
      </w:r>
    </w:p>
    <w:p w:rsidR="00F57F0B" w:rsidRDefault="00325CD2">
      <w:pPr>
        <w:spacing w:line="600" w:lineRule="exact"/>
        <w:ind w:firstLineChars="150" w:firstLine="480"/>
        <w:jc w:val="left"/>
        <w:rPr>
          <w:rFonts w:ascii="黑体" w:eastAsia="黑体" w:hAnsi="黑体" w:cs="黑体"/>
          <w:sz w:val="32"/>
          <w:szCs w:val="32"/>
        </w:rPr>
      </w:pPr>
      <w:r>
        <w:rPr>
          <w:rFonts w:ascii="仿宋_GB2312" w:eastAsia="仿宋_GB2312" w:hint="eastAsia"/>
          <w:sz w:val="32"/>
          <w:szCs w:val="32"/>
        </w:rPr>
        <w:t xml:space="preserve"> </w:t>
      </w:r>
      <w:r>
        <w:rPr>
          <w:rFonts w:ascii="黑体" w:eastAsia="黑体" w:hAnsi="黑体" w:cs="黑体" w:hint="eastAsia"/>
          <w:sz w:val="32"/>
          <w:szCs w:val="32"/>
        </w:rPr>
        <w:t>（一）土地资产情况</w:t>
      </w:r>
    </w:p>
    <w:p w:rsidR="00F57F0B" w:rsidRDefault="00325CD2">
      <w:pPr>
        <w:spacing w:line="600" w:lineRule="exact"/>
        <w:ind w:firstLineChars="150" w:firstLine="480"/>
        <w:jc w:val="left"/>
        <w:rPr>
          <w:rFonts w:ascii="仿宋_GB2312" w:eastAsia="仿宋"/>
          <w:sz w:val="32"/>
          <w:szCs w:val="32"/>
        </w:rPr>
      </w:pPr>
      <w:r>
        <w:rPr>
          <w:rFonts w:ascii="仿宋_GB2312" w:eastAsia="仿宋_GB2312" w:hint="eastAsia"/>
          <w:sz w:val="32"/>
          <w:szCs w:val="32"/>
        </w:rPr>
        <w:t xml:space="preserve"> 截至2020年12月31日，</w:t>
      </w:r>
      <w:r>
        <w:rPr>
          <w:rFonts w:ascii="仿宋" w:eastAsia="仿宋" w:hAnsi="仿宋" w:cs="Courier New" w:hint="eastAsia"/>
          <w:sz w:val="32"/>
          <w:szCs w:val="32"/>
        </w:rPr>
        <w:t>学校拥有各类土地79宗，</w:t>
      </w:r>
      <w:r>
        <w:rPr>
          <w:rFonts w:ascii="仿宋_GB2312" w:eastAsia="仿宋_GB2312" w:hint="eastAsia"/>
          <w:sz w:val="32"/>
          <w:szCs w:val="32"/>
        </w:rPr>
        <w:t>面积3,734.24万㎡（折合</w:t>
      </w:r>
      <w:r>
        <w:rPr>
          <w:rFonts w:ascii="仿宋" w:eastAsia="仿宋" w:hAnsi="仿宋" w:cs="Courier New" w:hint="eastAsia"/>
          <w:sz w:val="32"/>
          <w:szCs w:val="32"/>
        </w:rPr>
        <w:t>56,013.31亩</w:t>
      </w:r>
      <w:r>
        <w:rPr>
          <w:rFonts w:ascii="仿宋_GB2312" w:eastAsia="仿宋_GB2312" w:hint="eastAsia"/>
          <w:sz w:val="32"/>
          <w:szCs w:val="32"/>
        </w:rPr>
        <w:t>），账面价值1.48亿元。</w:t>
      </w:r>
      <w:r>
        <w:rPr>
          <w:rFonts w:ascii="仿宋" w:eastAsia="仿宋" w:hAnsi="仿宋" w:cs="Courier New" w:hint="eastAsia"/>
          <w:sz w:val="32"/>
          <w:szCs w:val="32"/>
        </w:rPr>
        <w:t>其中校园占地面积5,757.64亩。</w:t>
      </w:r>
    </w:p>
    <w:p w:rsidR="00F57F0B" w:rsidRDefault="00325CD2">
      <w:pPr>
        <w:spacing w:line="600" w:lineRule="exact"/>
        <w:ind w:firstLineChars="150" w:firstLine="480"/>
        <w:jc w:val="left"/>
        <w:rPr>
          <w:rFonts w:ascii="黑体" w:eastAsia="黑体" w:hAnsi="黑体" w:cs="黑体"/>
          <w:sz w:val="32"/>
          <w:szCs w:val="32"/>
        </w:rPr>
      </w:pPr>
      <w:r>
        <w:rPr>
          <w:rFonts w:ascii="仿宋_GB2312" w:eastAsia="仿宋_GB2312" w:hint="eastAsia"/>
          <w:sz w:val="32"/>
          <w:szCs w:val="32"/>
        </w:rPr>
        <w:t xml:space="preserve"> </w:t>
      </w:r>
      <w:r>
        <w:rPr>
          <w:rFonts w:ascii="黑体" w:eastAsia="黑体" w:hAnsi="黑体" w:cs="黑体" w:hint="eastAsia"/>
          <w:sz w:val="32"/>
          <w:szCs w:val="32"/>
        </w:rPr>
        <w:t>（二）房屋资产情况</w:t>
      </w:r>
    </w:p>
    <w:p w:rsidR="00F57F0B" w:rsidRDefault="00325CD2">
      <w:pPr>
        <w:spacing w:line="600" w:lineRule="exact"/>
        <w:ind w:firstLineChars="150" w:firstLine="480"/>
        <w:jc w:val="left"/>
        <w:rPr>
          <w:rFonts w:ascii="仿宋_GB2312" w:eastAsia="仿宋_GB2312"/>
          <w:sz w:val="32"/>
          <w:szCs w:val="32"/>
        </w:rPr>
      </w:pPr>
      <w:r>
        <w:rPr>
          <w:rFonts w:ascii="仿宋_GB2312" w:eastAsia="仿宋_GB2312" w:hint="eastAsia"/>
          <w:sz w:val="32"/>
          <w:szCs w:val="32"/>
        </w:rPr>
        <w:t xml:space="preserve"> 截至 2020 年 12月31日，我校房屋面积 125.93万㎡，</w:t>
      </w:r>
      <w:r>
        <w:rPr>
          <w:rFonts w:ascii="仿宋" w:eastAsia="仿宋" w:hAnsi="仿宋" w:cs="Courier New" w:hint="eastAsia"/>
          <w:sz w:val="32"/>
          <w:szCs w:val="32"/>
        </w:rPr>
        <w:t>净值15.76亿元（原值22.41亿元减计提折旧6.65亿元）</w:t>
      </w:r>
      <w:r>
        <w:rPr>
          <w:rFonts w:ascii="仿宋_GB2312" w:eastAsia="仿宋_GB2312" w:hint="eastAsia"/>
          <w:sz w:val="32"/>
          <w:szCs w:val="32"/>
        </w:rPr>
        <w:t>， 其中：</w:t>
      </w:r>
    </w:p>
    <w:p w:rsidR="00F57F0B" w:rsidRDefault="00325CD2">
      <w:pPr>
        <w:spacing w:line="600" w:lineRule="exact"/>
        <w:ind w:firstLineChars="150" w:firstLine="480"/>
        <w:jc w:val="left"/>
        <w:rPr>
          <w:rFonts w:ascii="仿宋_GB2312" w:eastAsia="仿宋_GB2312"/>
          <w:sz w:val="32"/>
          <w:szCs w:val="32"/>
        </w:rPr>
      </w:pPr>
      <w:r>
        <w:rPr>
          <w:rFonts w:ascii="仿宋_GB2312" w:eastAsia="仿宋_GB2312" w:hint="eastAsia"/>
          <w:sz w:val="32"/>
          <w:szCs w:val="32"/>
        </w:rPr>
        <w:t>按用途分，办公用房面积 5.96万㎡，占4.73% ；业务用房面积60.53万㎡，占48.07%；其他用房面积59.44万㎡，占 47.20%。公房实行有偿使用，2020年收缴公房资源占用费2,640万元。</w:t>
      </w:r>
    </w:p>
    <w:p w:rsidR="00F57F0B" w:rsidRDefault="00325CD2">
      <w:pPr>
        <w:spacing w:line="600" w:lineRule="exact"/>
        <w:ind w:firstLineChars="150" w:firstLine="480"/>
        <w:jc w:val="left"/>
        <w:rPr>
          <w:rFonts w:ascii="仿宋_GB2312" w:eastAsia="仿宋_GB2312"/>
          <w:sz w:val="32"/>
          <w:szCs w:val="32"/>
        </w:rPr>
      </w:pPr>
      <w:r>
        <w:rPr>
          <w:rFonts w:ascii="仿宋_GB2312" w:eastAsia="仿宋_GB2312" w:hint="eastAsia"/>
          <w:sz w:val="32"/>
          <w:szCs w:val="32"/>
        </w:rPr>
        <w:t>从使用状况分析：在用 123.72万㎡，占 98.25%，出租出借 2.21万㎡，占 1.75% 。</w:t>
      </w:r>
    </w:p>
    <w:p w:rsidR="00F57F0B" w:rsidRDefault="00325CD2">
      <w:pPr>
        <w:spacing w:line="600" w:lineRule="exact"/>
        <w:ind w:firstLineChars="150" w:firstLine="480"/>
        <w:jc w:val="left"/>
        <w:rPr>
          <w:rFonts w:ascii="黑体" w:eastAsia="黑体" w:hAnsi="黑体" w:cs="黑体"/>
          <w:sz w:val="32"/>
          <w:szCs w:val="32"/>
        </w:rPr>
      </w:pPr>
      <w:r>
        <w:rPr>
          <w:rFonts w:ascii="黑体" w:eastAsia="黑体" w:hAnsi="黑体" w:cs="黑体" w:hint="eastAsia"/>
          <w:sz w:val="32"/>
          <w:szCs w:val="32"/>
        </w:rPr>
        <w:t xml:space="preserve"> （三）车辆资产情况 </w:t>
      </w:r>
    </w:p>
    <w:p w:rsidR="00F57F0B" w:rsidRDefault="00325CD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 2020 年 12月31日，我校车</w:t>
      </w:r>
      <w:proofErr w:type="gramStart"/>
      <w:r>
        <w:rPr>
          <w:rFonts w:ascii="仿宋_GB2312" w:eastAsia="仿宋_GB2312" w:hint="eastAsia"/>
          <w:sz w:val="32"/>
          <w:szCs w:val="32"/>
        </w:rPr>
        <w:t>辆数量</w:t>
      </w:r>
      <w:proofErr w:type="gramEnd"/>
      <w:r>
        <w:rPr>
          <w:rFonts w:ascii="仿宋_GB2312" w:eastAsia="仿宋_GB2312" w:hint="eastAsia"/>
          <w:sz w:val="32"/>
          <w:szCs w:val="32"/>
        </w:rPr>
        <w:t>为 92辆，账面净值 450.73 万元（原值 2,839.86 万元减计提折旧2389.13万元） ，全部在用。本年度新增车辆 2辆，账面价值 11.52 万元，均为后勤服务用载货车；处置车辆 8辆，账面原值 159.91万元 。</w:t>
      </w:r>
    </w:p>
    <w:p w:rsidR="00F57F0B" w:rsidRDefault="00325CD2">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（四）在建工程情况</w:t>
      </w:r>
    </w:p>
    <w:p w:rsidR="00F57F0B" w:rsidRDefault="00325CD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 xml:space="preserve"> 截至2020年12月31日，我校在建工程30项、4.23亿元，其中，续建、新建项目21项、3.49亿元（其中北校区图书馆1.23亿元，水建学院楼及实验大厅8,501.47万元，实验动物中心5,141.02万元，农民发展学院4,620.87万元，火地塘林场1号学生宿舍楼261.87万元），占82.47%；已投入使用9项、7,410.47万元，占17.53%，主要包括曹新庄农场新征科研用地项目和农业部重点实验室建设项目。</w:t>
      </w:r>
    </w:p>
    <w:p w:rsidR="00F57F0B" w:rsidRDefault="00325CD2">
      <w:pPr>
        <w:spacing w:line="600" w:lineRule="exact"/>
        <w:ind w:firstLineChars="200" w:firstLine="640"/>
        <w:jc w:val="lef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四、资产绩效指标分析</w:t>
      </w:r>
    </w:p>
    <w:p w:rsidR="00F57F0B" w:rsidRDefault="00325CD2">
      <w:pPr>
        <w:spacing w:line="600" w:lineRule="exact"/>
        <w:rPr>
          <w:rFonts w:ascii="黑体" w:eastAsia="黑体" w:hAnsi="黑体"/>
          <w:sz w:val="32"/>
          <w:szCs w:val="32"/>
        </w:rPr>
      </w:pPr>
      <w:r>
        <w:rPr>
          <w:rFonts w:ascii="黑体" w:eastAsia="黑体" w:hAnsi="黑体" w:hint="eastAsia"/>
          <w:sz w:val="32"/>
          <w:szCs w:val="32"/>
        </w:rPr>
        <w:t xml:space="preserve">    （一）资产配置效率</w:t>
      </w:r>
    </w:p>
    <w:p w:rsidR="00F57F0B" w:rsidRDefault="00325CD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1.资产增长率=50.77亿元/47.99亿元*100%-1=5.80%</w:t>
      </w:r>
    </w:p>
    <w:p w:rsidR="00F57F0B" w:rsidRDefault="00325CD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2.生均教学科研仪器设备数量= 10.13万台（件）/32,605人=3.11台（件）/人</w:t>
      </w:r>
    </w:p>
    <w:p w:rsidR="00F57F0B" w:rsidRDefault="00325CD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3.生均教学科研仪器设备值= 16.03亿元/32,605人=4.92万元/人，略高于985高校常模值4.85万元/生</w:t>
      </w:r>
    </w:p>
    <w:p w:rsidR="00F57F0B" w:rsidRDefault="00325CD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4.生均纸质图书数量=321.1万册/32,605人=98.50册，略高于985高校常模值82.93册/生</w:t>
      </w:r>
    </w:p>
    <w:p w:rsidR="00F57F0B" w:rsidRDefault="00325CD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5.教职工人均占有通用设备数量=11.45万台（件）/4,552人=25.17台（件）/人</w:t>
      </w:r>
    </w:p>
    <w:p w:rsidR="00F57F0B" w:rsidRDefault="00325CD2">
      <w:pPr>
        <w:spacing w:line="600" w:lineRule="exact"/>
        <w:ind w:firstLine="640"/>
        <w:rPr>
          <w:rFonts w:ascii="黑体" w:eastAsia="黑体" w:hAnsi="黑体" w:cs="黑体"/>
          <w:sz w:val="32"/>
          <w:szCs w:val="32"/>
        </w:rPr>
      </w:pPr>
      <w:r>
        <w:rPr>
          <w:rFonts w:ascii="黑体" w:eastAsia="黑体" w:hAnsi="黑体" w:cs="黑体" w:hint="eastAsia"/>
          <w:sz w:val="32"/>
          <w:szCs w:val="32"/>
        </w:rPr>
        <w:t>（二）资产使用效益</w:t>
      </w:r>
    </w:p>
    <w:p w:rsidR="00F57F0B" w:rsidRDefault="00325CD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1.固定资产成新率=净值24.57亿元/原值50.69亿元*100%=48.47%</w:t>
      </w:r>
    </w:p>
    <w:p w:rsidR="00F57F0B" w:rsidRDefault="00325CD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2.资产出租出借收益率=265.49万元/3,697.85万元*100%=7.18%</w:t>
      </w:r>
    </w:p>
    <w:p w:rsidR="00F57F0B" w:rsidRDefault="00325CD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3.对外投资收益率=685.10万元/9,661.97万元*100%=7.09%</w:t>
      </w:r>
    </w:p>
    <w:p w:rsidR="00F57F0B" w:rsidRDefault="00325CD2">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五、2020年工作回顾</w:t>
      </w:r>
    </w:p>
    <w:p w:rsidR="00F57F0B" w:rsidRDefault="00325CD2">
      <w:pPr>
        <w:pStyle w:val="a6"/>
        <w:shd w:val="clear" w:color="auto" w:fill="FFFFFF"/>
        <w:spacing w:before="0" w:beforeAutospacing="0" w:after="0" w:afterAutospacing="0" w:line="600" w:lineRule="exact"/>
        <w:ind w:firstLineChars="200" w:firstLine="640"/>
        <w:jc w:val="both"/>
        <w:rPr>
          <w:rFonts w:ascii="仿宋_GB2312" w:eastAsia="仿宋_GB2312" w:hAnsi="仿宋_GB2312" w:cs="仿宋_GB2312"/>
          <w:bCs/>
          <w:kern w:val="2"/>
          <w:sz w:val="32"/>
          <w:szCs w:val="32"/>
        </w:rPr>
      </w:pPr>
      <w:r>
        <w:rPr>
          <w:rFonts w:ascii="仿宋_GB2312" w:eastAsia="仿宋_GB2312" w:hAnsi="仿宋_GB2312" w:cs="仿宋_GB2312" w:hint="eastAsia"/>
          <w:kern w:val="2"/>
          <w:sz w:val="32"/>
          <w:szCs w:val="32"/>
        </w:rPr>
        <w:t>刚刚过去的2020年，国有资产监督管理委员会坚持以习近平新时代中国特色社会主义思想为指导，深入学习贯彻党的十九大及十九届二中、三中、四中、五中全会精神和深化落实全国教育大会和全国研究生教育会议精神，</w:t>
      </w:r>
      <w:r>
        <w:rPr>
          <w:rFonts w:ascii="仿宋_GB2312" w:eastAsia="仿宋_GB2312" w:hAnsi="仿宋_GB2312" w:cs="仿宋_GB2312" w:hint="eastAsia"/>
          <w:bCs/>
          <w:kern w:val="2"/>
          <w:sz w:val="32"/>
          <w:szCs w:val="32"/>
        </w:rPr>
        <w:t>在学校党委、行政的坚强领导下，坚决贯彻学校“12345”发展思路，按照学校2020年工作会议及“五个标杆”创建行动计划的工作要求， 全力以赴打好疫情防控阻击战，统筹推进疫情防控和复工复产复学工作，全力推动国有资产治理体系和治理能力现代化，助推资产配置优化升级，不断改善和提高师生学习、工作和生活条件，为学校“双一流”建设及各项事业的快速发展提供了有力支撑。</w:t>
      </w:r>
    </w:p>
    <w:p w:rsidR="00F57F0B" w:rsidRDefault="00325CD2">
      <w:pPr>
        <w:pStyle w:val="a6"/>
        <w:shd w:val="clear" w:color="auto" w:fill="FFFFFF"/>
        <w:spacing w:before="0" w:beforeAutospacing="0" w:after="0" w:afterAutospacing="0" w:line="600" w:lineRule="exact"/>
        <w:ind w:firstLine="480"/>
        <w:rPr>
          <w:b/>
          <w:bCs/>
          <w:kern w:val="2"/>
          <w:sz w:val="32"/>
          <w:szCs w:val="32"/>
        </w:rPr>
      </w:pPr>
      <w:r>
        <w:rPr>
          <w:rFonts w:hint="eastAsia"/>
          <w:b/>
          <w:bCs/>
          <w:kern w:val="2"/>
          <w:sz w:val="32"/>
          <w:szCs w:val="32"/>
        </w:rPr>
        <w:t>（一）坚持政治站位、服从大局，在战</w:t>
      </w:r>
      <w:proofErr w:type="gramStart"/>
      <w:r>
        <w:rPr>
          <w:rFonts w:hint="eastAsia"/>
          <w:b/>
          <w:bCs/>
          <w:kern w:val="2"/>
          <w:sz w:val="32"/>
          <w:szCs w:val="32"/>
        </w:rPr>
        <w:t>疫战贫</w:t>
      </w:r>
      <w:proofErr w:type="gramEnd"/>
      <w:r>
        <w:rPr>
          <w:rFonts w:hint="eastAsia"/>
          <w:b/>
          <w:bCs/>
          <w:kern w:val="2"/>
          <w:sz w:val="32"/>
          <w:szCs w:val="32"/>
        </w:rPr>
        <w:t>的大战大考中砥砺奋进</w:t>
      </w:r>
    </w:p>
    <w:p w:rsidR="00F57F0B" w:rsidRDefault="00325CD2">
      <w:pPr>
        <w:pStyle w:val="a6"/>
        <w:shd w:val="clear" w:color="auto" w:fill="FFFFFF"/>
        <w:spacing w:before="0" w:beforeAutospacing="0" w:after="0" w:afterAutospacing="0" w:line="600" w:lineRule="exact"/>
        <w:ind w:firstLine="48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1.全力以赴打好疫情防控阻击战。疫情爆发后，认真贯彻中省及学校党委的决策部署，统筹疫情防控和日常业务两个战场，抓住疫情防控和疫后复工复产复学两个重点，认真落实主体责任，加强常态化防控，确保“外防输入、内防反弹”要求落到实处。其中，国资处作为保障工作组组长单位，全程参加一线防控，全面参与物资保障、入户排查、测温登记、值班值守等工作，连续工作57天未下火线，打出疫情</w:t>
      </w:r>
      <w:r>
        <w:rPr>
          <w:rFonts w:ascii="仿宋_GB2312" w:eastAsia="仿宋_GB2312" w:hAnsi="仿宋_GB2312" w:cs="仿宋_GB2312" w:hint="eastAsia"/>
          <w:bCs/>
          <w:kern w:val="2"/>
          <w:sz w:val="32"/>
          <w:szCs w:val="32"/>
        </w:rPr>
        <w:lastRenderedPageBreak/>
        <w:t>防控保障新典范，主要是：坚决执行学校疫情防控工作安排部署这“一个总要求”，围绕既满足学校当前疫情防控需求，又不过多囤积紧缺物资，避免社会资源结构性浪费和学校防疫资金浪费“两大防控策略”，建立采购决策、采购执行和入库验收“三人小组”，搭建处内疫情防控</w:t>
      </w:r>
      <w:proofErr w:type="gramStart"/>
      <w:r>
        <w:rPr>
          <w:rFonts w:ascii="仿宋_GB2312" w:eastAsia="仿宋_GB2312" w:hAnsi="仿宋_GB2312" w:cs="仿宋_GB2312" w:hint="eastAsia"/>
          <w:bCs/>
          <w:kern w:val="2"/>
          <w:sz w:val="32"/>
          <w:szCs w:val="32"/>
        </w:rPr>
        <w:t>微信群</w:t>
      </w:r>
      <w:proofErr w:type="gramEnd"/>
      <w:r>
        <w:rPr>
          <w:rFonts w:ascii="仿宋_GB2312" w:eastAsia="仿宋_GB2312" w:hAnsi="仿宋_GB2312" w:cs="仿宋_GB2312" w:hint="eastAsia"/>
          <w:bCs/>
          <w:kern w:val="2"/>
          <w:sz w:val="32"/>
          <w:szCs w:val="32"/>
        </w:rPr>
        <w:t>、保障工作组</w:t>
      </w:r>
      <w:proofErr w:type="gramStart"/>
      <w:r>
        <w:rPr>
          <w:rFonts w:ascii="仿宋_GB2312" w:eastAsia="仿宋_GB2312" w:hAnsi="仿宋_GB2312" w:cs="仿宋_GB2312" w:hint="eastAsia"/>
          <w:bCs/>
          <w:kern w:val="2"/>
          <w:sz w:val="32"/>
          <w:szCs w:val="32"/>
        </w:rPr>
        <w:t>微信群</w:t>
      </w:r>
      <w:proofErr w:type="gramEnd"/>
      <w:r>
        <w:rPr>
          <w:rFonts w:ascii="仿宋_GB2312" w:eastAsia="仿宋_GB2312" w:hAnsi="仿宋_GB2312" w:cs="仿宋_GB2312" w:hint="eastAsia"/>
          <w:bCs/>
          <w:kern w:val="2"/>
          <w:sz w:val="32"/>
          <w:szCs w:val="32"/>
        </w:rPr>
        <w:t>和疫情防控领导小组“三张网络”、防控物资采购（获捐、调拨）、验收入库和领用出库“三本台账”，实施防控物资校内调集、市场采购、社会捐赠和政府调拨“四个整合”，全面实现了“五个零目标”。</w:t>
      </w:r>
    </w:p>
    <w:p w:rsidR="00F57F0B" w:rsidRDefault="00325CD2">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一是应急响应“零延迟”，自全国宣布进入疫情防控状态起，连夜吹响抗</w:t>
      </w:r>
      <w:proofErr w:type="gramStart"/>
      <w:r>
        <w:rPr>
          <w:rFonts w:ascii="仿宋_GB2312" w:eastAsia="仿宋_GB2312" w:hAnsi="仿宋_GB2312" w:cs="仿宋_GB2312" w:hint="eastAsia"/>
          <w:bCs/>
          <w:sz w:val="32"/>
          <w:szCs w:val="32"/>
        </w:rPr>
        <w:t>疫</w:t>
      </w:r>
      <w:proofErr w:type="gramEnd"/>
      <w:r>
        <w:rPr>
          <w:rFonts w:ascii="仿宋_GB2312" w:eastAsia="仿宋_GB2312" w:hAnsi="仿宋_GB2312" w:cs="仿宋_GB2312" w:hint="eastAsia"/>
          <w:bCs/>
          <w:sz w:val="32"/>
          <w:szCs w:val="32"/>
        </w:rPr>
        <w:t>集结号，在24小时内通过</w:t>
      </w:r>
      <w:proofErr w:type="gramStart"/>
      <w:r>
        <w:rPr>
          <w:rFonts w:ascii="仿宋_GB2312" w:eastAsia="仿宋_GB2312" w:hAnsi="仿宋_GB2312" w:cs="仿宋_GB2312" w:hint="eastAsia"/>
          <w:bCs/>
          <w:sz w:val="32"/>
          <w:szCs w:val="32"/>
        </w:rPr>
        <w:t>微信朋友</w:t>
      </w:r>
      <w:proofErr w:type="gramEnd"/>
      <w:r>
        <w:rPr>
          <w:rFonts w:ascii="仿宋_GB2312" w:eastAsia="仿宋_GB2312" w:hAnsi="仿宋_GB2312" w:cs="仿宋_GB2312" w:hint="eastAsia"/>
          <w:bCs/>
          <w:sz w:val="32"/>
          <w:szCs w:val="32"/>
        </w:rPr>
        <w:t>圈发动校内外师生募集到37把红外测温枪，同时完成了口罩、酒精、消毒液和防护手套等急需物资的校内紧急调集工作，基本确保紧急状态下的物资保障，真正做到布防在前、</w:t>
      </w:r>
      <w:proofErr w:type="gramStart"/>
      <w:r>
        <w:rPr>
          <w:rFonts w:ascii="仿宋_GB2312" w:eastAsia="仿宋_GB2312" w:hAnsi="仿宋_GB2312" w:cs="仿宋_GB2312" w:hint="eastAsia"/>
          <w:bCs/>
          <w:sz w:val="32"/>
          <w:szCs w:val="32"/>
        </w:rPr>
        <w:t>未急先应</w:t>
      </w:r>
      <w:proofErr w:type="gramEnd"/>
      <w:r>
        <w:rPr>
          <w:rFonts w:ascii="仿宋_GB2312" w:eastAsia="仿宋_GB2312" w:hAnsi="仿宋_GB2312" w:cs="仿宋_GB2312" w:hint="eastAsia"/>
          <w:bCs/>
          <w:sz w:val="32"/>
          <w:szCs w:val="32"/>
        </w:rPr>
        <w:t>。</w:t>
      </w:r>
    </w:p>
    <w:p w:rsidR="00F57F0B" w:rsidRDefault="00325CD2">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二是组织动员“零缺位”，及时制定和</w:t>
      </w:r>
      <w:proofErr w:type="gramStart"/>
      <w:r>
        <w:rPr>
          <w:rFonts w:ascii="仿宋_GB2312" w:eastAsia="仿宋_GB2312" w:hAnsi="仿宋_GB2312" w:cs="仿宋_GB2312" w:hint="eastAsia"/>
          <w:bCs/>
          <w:sz w:val="32"/>
          <w:szCs w:val="32"/>
        </w:rPr>
        <w:t>启动国</w:t>
      </w:r>
      <w:proofErr w:type="gramEnd"/>
      <w:r>
        <w:rPr>
          <w:rFonts w:ascii="仿宋_GB2312" w:eastAsia="仿宋_GB2312" w:hAnsi="仿宋_GB2312" w:cs="仿宋_GB2312" w:hint="eastAsia"/>
          <w:bCs/>
          <w:sz w:val="32"/>
          <w:szCs w:val="32"/>
        </w:rPr>
        <w:t>资处和保障工作组两套应急预案，处领导带领全处党员职工24小时扎在一线，一体联动。国资处作为组长单位和核心力量，牵头或配合全部小组工作。</w:t>
      </w:r>
    </w:p>
    <w:p w:rsidR="00F57F0B" w:rsidRDefault="00325CD2">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三是排查监督“零疏漏”。实时分析</w:t>
      </w:r>
      <w:proofErr w:type="gramStart"/>
      <w:r>
        <w:rPr>
          <w:rFonts w:ascii="仿宋_GB2312" w:eastAsia="仿宋_GB2312" w:hAnsi="仿宋_GB2312" w:cs="仿宋_GB2312" w:hint="eastAsia"/>
          <w:bCs/>
          <w:sz w:val="32"/>
          <w:szCs w:val="32"/>
        </w:rPr>
        <w:t>研</w:t>
      </w:r>
      <w:proofErr w:type="gramEnd"/>
      <w:r>
        <w:rPr>
          <w:rFonts w:ascii="仿宋_GB2312" w:eastAsia="仿宋_GB2312" w:hAnsi="仿宋_GB2312" w:cs="仿宋_GB2312" w:hint="eastAsia"/>
          <w:bCs/>
          <w:sz w:val="32"/>
          <w:szCs w:val="32"/>
        </w:rPr>
        <w:t>判国内外疫情动态，定制采购“集装箱测温通道”，发挥防控物资采购信息“前哨”作用，制定复工复产复学预案，在2周内通过在线谈判完成了70套红外测温设备的紧急采购，并于三月初陆</w:t>
      </w:r>
      <w:r>
        <w:rPr>
          <w:rFonts w:ascii="仿宋_GB2312" w:eastAsia="仿宋_GB2312" w:hAnsi="仿宋_GB2312" w:cs="仿宋_GB2312" w:hint="eastAsia"/>
          <w:bCs/>
          <w:sz w:val="32"/>
          <w:szCs w:val="32"/>
        </w:rPr>
        <w:lastRenderedPageBreak/>
        <w:t>续安装到位；在3周内以低于当时市场50%的价格陆续采购入库口罩累计超过10万只，“985高校备足35万口罩迎开学”的能量新闻在4月刷屏网络；发挥联防联控、群防群治强大作用，组织或参与完成5000余户住户信息的统计完善，344户周转房住户返校登记及动态管理，牢牢守住入校人员闭环管理“房”火墙。</w:t>
      </w:r>
    </w:p>
    <w:p w:rsidR="00F57F0B" w:rsidRDefault="00325CD2">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四是常态推进“零脱节”。对标“两案九制”和“九项制度和九个关键区域”，积极做好季节交替时期的疫情防控准备工作。截止2020年年底，累计发放口罩59.1万只，酒精约1800升，消毒液约5300升。</w:t>
      </w:r>
    </w:p>
    <w:p w:rsidR="00F57F0B" w:rsidRDefault="00325CD2">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五是台</w:t>
      </w:r>
      <w:proofErr w:type="gramStart"/>
      <w:r>
        <w:rPr>
          <w:rFonts w:ascii="仿宋_GB2312" w:eastAsia="仿宋_GB2312" w:hAnsi="仿宋_GB2312" w:cs="仿宋_GB2312" w:hint="eastAsia"/>
          <w:bCs/>
          <w:sz w:val="32"/>
          <w:szCs w:val="32"/>
        </w:rPr>
        <w:t>账管理</w:t>
      </w:r>
      <w:proofErr w:type="gramEnd"/>
      <w:r>
        <w:rPr>
          <w:rFonts w:ascii="仿宋_GB2312" w:eastAsia="仿宋_GB2312" w:hAnsi="仿宋_GB2312" w:cs="仿宋_GB2312" w:hint="eastAsia"/>
          <w:bCs/>
          <w:sz w:val="32"/>
          <w:szCs w:val="32"/>
        </w:rPr>
        <w:t>“零差错”。无论是疫情爆发的紧急时期，还是逐步进入疫情常态化防控阶段，防控物资的台账管理、防控物资临时仓库管理均依法合</w:t>
      </w:r>
      <w:proofErr w:type="gramStart"/>
      <w:r>
        <w:rPr>
          <w:rFonts w:ascii="仿宋_GB2312" w:eastAsia="仿宋_GB2312" w:hAnsi="仿宋_GB2312" w:cs="仿宋_GB2312" w:hint="eastAsia"/>
          <w:bCs/>
          <w:sz w:val="32"/>
          <w:szCs w:val="32"/>
        </w:rPr>
        <w:t>规</w:t>
      </w:r>
      <w:proofErr w:type="gramEnd"/>
      <w:r>
        <w:rPr>
          <w:rFonts w:ascii="仿宋_GB2312" w:eastAsia="仿宋_GB2312" w:hAnsi="仿宋_GB2312" w:cs="仿宋_GB2312" w:hint="eastAsia"/>
          <w:bCs/>
          <w:sz w:val="32"/>
          <w:szCs w:val="32"/>
        </w:rPr>
        <w:t>。主动申请校内专项审计，以“零差错”审定结果，向学校和广大师生交清明白账、放心账。</w:t>
      </w:r>
    </w:p>
    <w:p w:rsidR="00F57F0B" w:rsidRDefault="00325CD2">
      <w:pPr>
        <w:pStyle w:val="a6"/>
        <w:shd w:val="clear" w:color="auto" w:fill="FFFFFF"/>
        <w:spacing w:before="0" w:beforeAutospacing="0" w:after="0" w:afterAutospacing="0" w:line="600" w:lineRule="exact"/>
        <w:ind w:firstLine="48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2.全力以赴打好脱贫</w:t>
      </w:r>
      <w:proofErr w:type="gramStart"/>
      <w:r>
        <w:rPr>
          <w:rFonts w:ascii="仿宋_GB2312" w:eastAsia="仿宋_GB2312" w:hAnsi="仿宋_GB2312" w:cs="仿宋_GB2312" w:hint="eastAsia"/>
          <w:bCs/>
          <w:kern w:val="2"/>
          <w:sz w:val="32"/>
          <w:szCs w:val="32"/>
        </w:rPr>
        <w:t>攻坚收</w:t>
      </w:r>
      <w:proofErr w:type="gramEnd"/>
      <w:r>
        <w:rPr>
          <w:rFonts w:ascii="仿宋_GB2312" w:eastAsia="仿宋_GB2312" w:hAnsi="仿宋_GB2312" w:cs="仿宋_GB2312" w:hint="eastAsia"/>
          <w:bCs/>
          <w:kern w:val="2"/>
          <w:sz w:val="32"/>
          <w:szCs w:val="32"/>
        </w:rPr>
        <w:t>官战。深入贯彻中省和学校党委关于新冠疫情防控、脱贫攻坚系列部署，压实疫情防控责任，落实脱贫攻坚措施，重点聚焦产业扶贫、消费扶贫和扶贫物资保障，确保了合阳县、镇巴县和城固县按期夺取脱贫攻坚全面胜利，为下一步乡村振兴夯实了政治基础、产业基础和群众基础。同时，组织干部职工参加消费扶贫，全年采购富硒茶叶等特色农产品等合计701.4万元；依托“研究生助力团”开展优质科研成果等无形资产助力扶贫产业发展，</w:t>
      </w:r>
      <w:r>
        <w:rPr>
          <w:rFonts w:ascii="仿宋_GB2312" w:eastAsia="仿宋_GB2312" w:hAnsi="仿宋_GB2312" w:cs="仿宋_GB2312" w:hint="eastAsia"/>
          <w:bCs/>
          <w:kern w:val="2"/>
          <w:sz w:val="32"/>
          <w:szCs w:val="32"/>
        </w:rPr>
        <w:lastRenderedPageBreak/>
        <w:t>累计帮助引进新品种130余个，推广实用技术60余项，为贫困县企业设计产品包装50多个，设计创意产品30个，捐赠各类物资原值37.9万元，给扶贫县带来了实实在在的好处，获得国家和社会的高度评价。</w:t>
      </w:r>
    </w:p>
    <w:p w:rsidR="00F57F0B" w:rsidRDefault="00325CD2">
      <w:pPr>
        <w:pStyle w:val="a6"/>
        <w:shd w:val="clear" w:color="auto" w:fill="FFFFFF"/>
        <w:spacing w:before="0" w:beforeAutospacing="0" w:after="0" w:afterAutospacing="0" w:line="600" w:lineRule="exact"/>
        <w:ind w:firstLine="480"/>
        <w:rPr>
          <w:rFonts w:ascii="仿宋" w:eastAsia="仿宋" w:hAnsi="仿宋"/>
          <w:bCs/>
          <w:kern w:val="2"/>
          <w:sz w:val="32"/>
          <w:szCs w:val="32"/>
        </w:rPr>
      </w:pPr>
      <w:r>
        <w:rPr>
          <w:rFonts w:ascii="仿宋_GB2312" w:eastAsia="仿宋_GB2312" w:hAnsi="仿宋_GB2312" w:cs="仿宋_GB2312" w:hint="eastAsia"/>
          <w:bCs/>
          <w:kern w:val="2"/>
          <w:sz w:val="32"/>
          <w:szCs w:val="32"/>
        </w:rPr>
        <w:t>3.全力以赴打好疫后复工复产复学攻坚战。疫情发生后，第一时间研究和落实中央文件精神，以实际行动落实“六稳六保”任务，帮助中小</w:t>
      </w:r>
      <w:proofErr w:type="gramStart"/>
      <w:r>
        <w:rPr>
          <w:rFonts w:ascii="仿宋_GB2312" w:eastAsia="仿宋_GB2312" w:hAnsi="仿宋_GB2312" w:cs="仿宋_GB2312" w:hint="eastAsia"/>
          <w:bCs/>
          <w:kern w:val="2"/>
          <w:sz w:val="32"/>
          <w:szCs w:val="32"/>
        </w:rPr>
        <w:t>微企业</w:t>
      </w:r>
      <w:proofErr w:type="gramEnd"/>
      <w:r>
        <w:rPr>
          <w:rFonts w:ascii="仿宋_GB2312" w:eastAsia="仿宋_GB2312" w:hAnsi="仿宋_GB2312" w:cs="仿宋_GB2312" w:hint="eastAsia"/>
          <w:bCs/>
          <w:kern w:val="2"/>
          <w:sz w:val="32"/>
          <w:szCs w:val="32"/>
        </w:rPr>
        <w:t>和个体工商户共克时艰走在前列、推进全校复工复产复学走在前列。国资委办公室先于中省相关减免具体政策，于在2020年6月即</w:t>
      </w:r>
      <w:proofErr w:type="gramStart"/>
      <w:r>
        <w:rPr>
          <w:rFonts w:ascii="仿宋_GB2312" w:eastAsia="仿宋_GB2312" w:hAnsi="仿宋_GB2312" w:cs="仿宋_GB2312" w:hint="eastAsia"/>
          <w:bCs/>
          <w:kern w:val="2"/>
          <w:sz w:val="32"/>
          <w:szCs w:val="32"/>
        </w:rPr>
        <w:t>提请国</w:t>
      </w:r>
      <w:proofErr w:type="gramEnd"/>
      <w:r>
        <w:rPr>
          <w:rFonts w:ascii="仿宋_GB2312" w:eastAsia="仿宋_GB2312" w:hAnsi="仿宋_GB2312" w:cs="仿宋_GB2312" w:hint="eastAsia"/>
          <w:bCs/>
          <w:kern w:val="2"/>
          <w:sz w:val="32"/>
          <w:szCs w:val="32"/>
        </w:rPr>
        <w:t>资委会议审议，迅速制定出台学校公用房房租减免政策，为</w:t>
      </w:r>
      <w:r>
        <w:rPr>
          <w:rFonts w:ascii="仿宋_GB2312" w:eastAsia="仿宋_GB2312" w:hAnsi="仿宋_GB2312" w:cs="仿宋_GB2312" w:hint="eastAsia"/>
          <w:sz w:val="32"/>
          <w:szCs w:val="32"/>
        </w:rPr>
        <w:t>承租学校房屋的104个体工商户和中小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bCs/>
          <w:kern w:val="2"/>
          <w:sz w:val="32"/>
          <w:szCs w:val="32"/>
        </w:rPr>
        <w:t>减免房租共计140余万元，使政策惠及一线承租人，得到租户的好评；平稳高效完成北校区3栋教职工单间公寓楼腾退工作，改造新增300余间研究生宿舍，充分保障疫后研究生招生新变化、新情况。</w:t>
      </w:r>
    </w:p>
    <w:p w:rsidR="00F57F0B" w:rsidRDefault="00325CD2">
      <w:pPr>
        <w:pStyle w:val="a6"/>
        <w:shd w:val="clear" w:color="auto" w:fill="FFFFFF"/>
        <w:spacing w:before="0" w:beforeAutospacing="0" w:after="0" w:afterAutospacing="0" w:line="600" w:lineRule="exact"/>
        <w:ind w:firstLine="480"/>
        <w:rPr>
          <w:b/>
          <w:bCs/>
          <w:kern w:val="2"/>
          <w:sz w:val="32"/>
          <w:szCs w:val="32"/>
        </w:rPr>
      </w:pPr>
      <w:r>
        <w:rPr>
          <w:rFonts w:hint="eastAsia"/>
          <w:b/>
          <w:bCs/>
          <w:kern w:val="2"/>
          <w:sz w:val="32"/>
          <w:szCs w:val="32"/>
        </w:rPr>
        <w:t>（二）坚持敢闯敢试、善作善成，全面深化国有资产管理机制改革更加有序有方</w:t>
      </w:r>
    </w:p>
    <w:p w:rsidR="00F57F0B" w:rsidRDefault="00325CD2">
      <w:pPr>
        <w:pStyle w:val="a6"/>
        <w:shd w:val="clear" w:color="auto" w:fill="FFFFFF"/>
        <w:spacing w:before="0" w:beforeAutospacing="0" w:after="0" w:afterAutospacing="0" w:line="600" w:lineRule="exact"/>
        <w:ind w:firstLine="48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1.着眼未来，高点</w:t>
      </w:r>
      <w:proofErr w:type="gramStart"/>
      <w:r>
        <w:rPr>
          <w:rFonts w:ascii="仿宋_GB2312" w:eastAsia="仿宋_GB2312" w:hAnsi="仿宋_GB2312" w:cs="仿宋_GB2312" w:hint="eastAsia"/>
          <w:bCs/>
          <w:kern w:val="2"/>
          <w:sz w:val="32"/>
          <w:szCs w:val="32"/>
        </w:rPr>
        <w:t>谋资产</w:t>
      </w:r>
      <w:proofErr w:type="gramEnd"/>
      <w:r>
        <w:rPr>
          <w:rFonts w:ascii="仿宋_GB2312" w:eastAsia="仿宋_GB2312" w:hAnsi="仿宋_GB2312" w:cs="仿宋_GB2312" w:hint="eastAsia"/>
          <w:bCs/>
          <w:kern w:val="2"/>
          <w:sz w:val="32"/>
          <w:szCs w:val="32"/>
        </w:rPr>
        <w:t>管理划数字化改革。升级完善资产管理与服务系统，同步推进国有资产信息分布式维护（</w:t>
      </w:r>
      <w:r w:rsidR="00BD5D5B">
        <w:rPr>
          <w:rFonts w:ascii="仿宋_GB2312" w:eastAsia="仿宋_GB2312" w:hAnsi="仿宋_GB2312" w:cs="仿宋_GB2312" w:hint="eastAsia"/>
          <w:bCs/>
          <w:kern w:val="2"/>
          <w:sz w:val="32"/>
          <w:szCs w:val="32"/>
        </w:rPr>
        <w:t>即</w:t>
      </w:r>
      <w:proofErr w:type="gramStart"/>
      <w:r>
        <w:rPr>
          <w:rFonts w:ascii="仿宋_GB2312" w:eastAsia="仿宋_GB2312" w:hAnsi="仿宋_GB2312" w:cs="仿宋_GB2312" w:hint="eastAsia"/>
          <w:bCs/>
          <w:kern w:val="2"/>
          <w:sz w:val="32"/>
          <w:szCs w:val="32"/>
        </w:rPr>
        <w:t>个人登</w:t>
      </w:r>
      <w:proofErr w:type="gramEnd"/>
      <w:r>
        <w:rPr>
          <w:rFonts w:ascii="仿宋_GB2312" w:eastAsia="仿宋_GB2312" w:hAnsi="仿宋_GB2312" w:cs="仿宋_GB2312" w:hint="eastAsia"/>
          <w:bCs/>
          <w:kern w:val="2"/>
          <w:sz w:val="32"/>
          <w:szCs w:val="32"/>
        </w:rPr>
        <w:t>账、维护和下账）</w:t>
      </w:r>
      <w:bookmarkStart w:id="0" w:name="_GoBack"/>
      <w:bookmarkEnd w:id="0"/>
      <w:r>
        <w:rPr>
          <w:rFonts w:ascii="仿宋_GB2312" w:eastAsia="仿宋_GB2312" w:hAnsi="仿宋_GB2312" w:cs="仿宋_GB2312" w:hint="eastAsia"/>
          <w:bCs/>
          <w:kern w:val="2"/>
          <w:sz w:val="32"/>
          <w:szCs w:val="32"/>
        </w:rPr>
        <w:t>，通过云端数据库进行资产登记与查询，提升了资产管理的效率，持续降低管理的人力、物力成本。同时，聚焦资产信息数据的“收集、整理、保存、分析和总结”，为进一步打造推动国有资产效能持续发挥的数字新引擎奠定了基础。</w:t>
      </w:r>
    </w:p>
    <w:p w:rsidR="00F57F0B" w:rsidRDefault="00325CD2">
      <w:pPr>
        <w:pStyle w:val="a6"/>
        <w:shd w:val="clear" w:color="auto" w:fill="FFFFFF"/>
        <w:spacing w:before="0" w:beforeAutospacing="0" w:after="0" w:afterAutospacing="0" w:line="600" w:lineRule="exact"/>
        <w:ind w:firstLine="48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lastRenderedPageBreak/>
        <w:t>2.聚焦效能，探索资产权属、归口和使用三级管理机制，管理效能不断提高。深入推进落实“放管服”政策，加快推进管理重心下沉，将《国有资产管理办法》相关规定内嵌植入资产管理与服务系统，通过系统对权属、归口和使用三级权责清单职权进行细化完善、动态调整，梳理细分各职权事项的责任子项，确保了责任到人，监督到物。按照国资委2020年第1次会议精神，推动成立场站管理处，实践探索权属、归口和使用三级管理模式，取得了良好的效果，为继续深化改革积累了经验。</w:t>
      </w:r>
    </w:p>
    <w:p w:rsidR="00F57F0B" w:rsidRDefault="00325CD2">
      <w:pPr>
        <w:pStyle w:val="a6"/>
        <w:shd w:val="clear" w:color="auto" w:fill="FFFFFF"/>
        <w:spacing w:before="0" w:beforeAutospacing="0" w:after="0" w:afterAutospacing="0" w:line="600" w:lineRule="exact"/>
        <w:ind w:firstLine="480"/>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3.筑牢防线，不断完善监管制度体系。全面开展国资管理规范性文件清理及废止工作，系统清理2004年以来颁布的政策文件，共废止规范性文件4份,修订</w:t>
      </w:r>
      <w:proofErr w:type="gramStart"/>
      <w:r>
        <w:rPr>
          <w:rFonts w:ascii="仿宋_GB2312" w:eastAsia="仿宋_GB2312" w:hAnsi="仿宋_GB2312" w:cs="仿宋_GB2312" w:hint="eastAsia"/>
          <w:bCs/>
          <w:kern w:val="2"/>
          <w:sz w:val="32"/>
          <w:szCs w:val="32"/>
        </w:rPr>
        <w:t>文件文件</w:t>
      </w:r>
      <w:proofErr w:type="gramEnd"/>
      <w:r>
        <w:rPr>
          <w:rFonts w:ascii="仿宋_GB2312" w:eastAsia="仿宋_GB2312" w:hAnsi="仿宋_GB2312" w:cs="仿宋_GB2312" w:hint="eastAsia"/>
          <w:bCs/>
          <w:kern w:val="2"/>
          <w:sz w:val="32"/>
          <w:szCs w:val="32"/>
        </w:rPr>
        <w:t>10份，汇编最新中</w:t>
      </w:r>
      <w:proofErr w:type="gramStart"/>
      <w:r>
        <w:rPr>
          <w:rFonts w:ascii="仿宋_GB2312" w:eastAsia="仿宋_GB2312" w:hAnsi="仿宋_GB2312" w:cs="仿宋_GB2312" w:hint="eastAsia"/>
          <w:bCs/>
          <w:kern w:val="2"/>
          <w:sz w:val="32"/>
          <w:szCs w:val="32"/>
        </w:rPr>
        <w:t>省文件</w:t>
      </w:r>
      <w:proofErr w:type="gramEnd"/>
      <w:r>
        <w:rPr>
          <w:rFonts w:ascii="仿宋_GB2312" w:eastAsia="仿宋_GB2312" w:hAnsi="仿宋_GB2312" w:cs="仿宋_GB2312" w:hint="eastAsia"/>
          <w:bCs/>
          <w:kern w:val="2"/>
          <w:sz w:val="32"/>
          <w:szCs w:val="32"/>
        </w:rPr>
        <w:t>23份，为国资监管工作提供最新、全面的政策参考指引。全年共接受科教副产品、房屋出租出借、防控物资、内控管理等专项审计或检查5次，主动开展校内资产管理、科教副产品处置等专项检查6次。结合审计或检查发现的问题，深入开展监管制度体系漏洞梳理分析，提出改进建议12项。</w:t>
      </w:r>
    </w:p>
    <w:p w:rsidR="00F57F0B" w:rsidRDefault="00325CD2">
      <w:pPr>
        <w:pStyle w:val="a6"/>
        <w:shd w:val="clear" w:color="auto" w:fill="FFFFFF"/>
        <w:spacing w:before="0" w:beforeAutospacing="0" w:after="0" w:afterAutospacing="0" w:line="600" w:lineRule="exact"/>
        <w:ind w:firstLine="480"/>
        <w:rPr>
          <w:b/>
          <w:bCs/>
          <w:kern w:val="2"/>
          <w:sz w:val="32"/>
          <w:szCs w:val="32"/>
        </w:rPr>
      </w:pPr>
      <w:r>
        <w:rPr>
          <w:rFonts w:hint="eastAsia"/>
          <w:b/>
          <w:bCs/>
          <w:kern w:val="2"/>
          <w:sz w:val="32"/>
          <w:szCs w:val="32"/>
        </w:rPr>
        <w:t>（三）坚持用心用情、开源节流，全面改善房屋保障体系更加有声有色</w:t>
      </w:r>
    </w:p>
    <w:p w:rsidR="00F57F0B" w:rsidRDefault="00325CD2">
      <w:pPr>
        <w:pStyle w:val="a6"/>
        <w:shd w:val="clear" w:color="auto" w:fill="FFFFFF"/>
        <w:spacing w:before="0" w:beforeAutospacing="0" w:after="0" w:afterAutospacing="0" w:line="600" w:lineRule="exact"/>
        <w:ind w:firstLineChars="200" w:firstLine="640"/>
        <w:jc w:val="both"/>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1.激发活力，统筹公用房屋供给结构调整。主动对</w:t>
      </w:r>
      <w:proofErr w:type="gramStart"/>
      <w:r>
        <w:rPr>
          <w:rFonts w:ascii="仿宋_GB2312" w:eastAsia="仿宋_GB2312" w:hAnsi="仿宋_GB2312" w:cs="仿宋_GB2312" w:hint="eastAsia"/>
          <w:bCs/>
          <w:kern w:val="2"/>
          <w:sz w:val="32"/>
          <w:szCs w:val="32"/>
        </w:rPr>
        <w:t>标学校</w:t>
      </w:r>
      <w:proofErr w:type="gramEnd"/>
      <w:r>
        <w:rPr>
          <w:rFonts w:ascii="仿宋_GB2312" w:eastAsia="仿宋_GB2312" w:hAnsi="仿宋_GB2312" w:cs="仿宋_GB2312" w:hint="eastAsia"/>
          <w:bCs/>
          <w:kern w:val="2"/>
          <w:sz w:val="32"/>
          <w:szCs w:val="32"/>
        </w:rPr>
        <w:t>事业发展需求，持续推动《公用房屋核算与使用管理办法（暂行）》《周转房管理暂行办法》深入实施，通过资源有</w:t>
      </w:r>
      <w:r>
        <w:rPr>
          <w:rFonts w:ascii="仿宋_GB2312" w:eastAsia="仿宋_GB2312" w:hAnsi="仿宋_GB2312" w:cs="仿宋_GB2312" w:hint="eastAsia"/>
          <w:bCs/>
          <w:kern w:val="2"/>
          <w:sz w:val="32"/>
          <w:szCs w:val="32"/>
        </w:rPr>
        <w:lastRenderedPageBreak/>
        <w:t>偿使用，唤醒和加强成本意识，促进公用房屋供需结构合理调整，全面提升现有房屋资源承载能级。全年共收回腾退办公用房415平米、周转房664套（间）。</w:t>
      </w:r>
    </w:p>
    <w:p w:rsidR="00F57F0B" w:rsidRDefault="00325CD2">
      <w:pPr>
        <w:pStyle w:val="a6"/>
        <w:shd w:val="clear" w:color="auto" w:fill="FFFFFF"/>
        <w:spacing w:before="0" w:beforeAutospacing="0" w:after="0" w:afterAutospacing="0" w:line="600" w:lineRule="exact"/>
        <w:ind w:firstLineChars="200" w:firstLine="640"/>
        <w:jc w:val="both"/>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2.突破陈规，全面规范房屋出租出借管理。全面梳理公用房屋出租出借情况，研究试点出租房屋集中管理改革方案，探索建立“归属清晰、权责明确、程序合</w:t>
      </w:r>
      <w:proofErr w:type="gramStart"/>
      <w:r>
        <w:rPr>
          <w:rFonts w:ascii="仿宋_GB2312" w:eastAsia="仿宋_GB2312" w:hAnsi="仿宋_GB2312" w:cs="仿宋_GB2312" w:hint="eastAsia"/>
          <w:bCs/>
          <w:kern w:val="2"/>
          <w:sz w:val="32"/>
          <w:szCs w:val="32"/>
        </w:rPr>
        <w:t>规</w:t>
      </w:r>
      <w:proofErr w:type="gramEnd"/>
      <w:r>
        <w:rPr>
          <w:rFonts w:ascii="仿宋_GB2312" w:eastAsia="仿宋_GB2312" w:hAnsi="仿宋_GB2312" w:cs="仿宋_GB2312" w:hint="eastAsia"/>
          <w:bCs/>
          <w:kern w:val="2"/>
          <w:sz w:val="32"/>
          <w:szCs w:val="32"/>
        </w:rPr>
        <w:t>、流转顺畅、监管有效”的公用房屋出租出借管理体系。完成水保所1#-6#楼49处（共计3,067.76㎡）门面</w:t>
      </w:r>
      <w:proofErr w:type="gramStart"/>
      <w:r>
        <w:rPr>
          <w:rFonts w:ascii="仿宋_GB2312" w:eastAsia="仿宋_GB2312" w:hAnsi="仿宋_GB2312" w:cs="仿宋_GB2312" w:hint="eastAsia"/>
          <w:bCs/>
          <w:kern w:val="2"/>
          <w:sz w:val="32"/>
          <w:szCs w:val="32"/>
        </w:rPr>
        <w:t>房资产</w:t>
      </w:r>
      <w:proofErr w:type="gramEnd"/>
      <w:r>
        <w:rPr>
          <w:rFonts w:ascii="仿宋_GB2312" w:eastAsia="仿宋_GB2312" w:hAnsi="仿宋_GB2312" w:cs="仿宋_GB2312" w:hint="eastAsia"/>
          <w:bCs/>
          <w:kern w:val="2"/>
          <w:sz w:val="32"/>
          <w:szCs w:val="32"/>
        </w:rPr>
        <w:t>登记后，交由后勤管理处统一归口管理；通过协议形式，将</w:t>
      </w:r>
      <w:r>
        <w:rPr>
          <w:rFonts w:ascii="仿宋_GB2312" w:eastAsia="仿宋_GB2312" w:hAnsi="仿宋_GB2312" w:cs="仿宋_GB2312" w:hint="eastAsia"/>
          <w:sz w:val="32"/>
          <w:szCs w:val="32"/>
        </w:rPr>
        <w:t>北校区南门外</w:t>
      </w:r>
      <w:proofErr w:type="gramStart"/>
      <w:r>
        <w:rPr>
          <w:rFonts w:ascii="仿宋_GB2312" w:eastAsia="仿宋_GB2312" w:hAnsi="仿宋_GB2312" w:cs="仿宋_GB2312" w:hint="eastAsia"/>
          <w:sz w:val="32"/>
          <w:szCs w:val="32"/>
        </w:rPr>
        <w:t>东服务</w:t>
      </w:r>
      <w:proofErr w:type="gramEnd"/>
      <w:r>
        <w:rPr>
          <w:rFonts w:ascii="仿宋_GB2312" w:eastAsia="仿宋_GB2312" w:hAnsi="仿宋_GB2312" w:cs="仿宋_GB2312" w:hint="eastAsia"/>
          <w:sz w:val="32"/>
          <w:szCs w:val="32"/>
        </w:rPr>
        <w:t>楼、植物所1号楼门面房和农场门面房等37</w:t>
      </w:r>
      <w:r>
        <w:rPr>
          <w:rFonts w:ascii="仿宋_GB2312" w:eastAsia="仿宋_GB2312" w:hAnsi="仿宋_GB2312" w:cs="仿宋_GB2312" w:hint="eastAsia"/>
          <w:bCs/>
          <w:kern w:val="2"/>
          <w:sz w:val="32"/>
          <w:szCs w:val="32"/>
        </w:rPr>
        <w:t>处房屋委托资产经营公司代为管理，约定</w:t>
      </w:r>
      <w:r>
        <w:rPr>
          <w:rFonts w:ascii="仿宋_GB2312" w:eastAsia="仿宋_GB2312" w:hAnsi="仿宋_GB2312" w:cs="仿宋_GB2312" w:hint="eastAsia"/>
          <w:sz w:val="32"/>
          <w:szCs w:val="32"/>
        </w:rPr>
        <w:t>租金税后收入的65%上缴学校，35</w:t>
      </w:r>
      <w:r>
        <w:rPr>
          <w:rFonts w:ascii="仿宋_GB2312" w:eastAsia="仿宋_GB2312" w:hAnsi="仿宋_GB2312" w:cs="仿宋_GB2312" w:hint="eastAsia"/>
          <w:bCs/>
          <w:kern w:val="2"/>
          <w:sz w:val="32"/>
          <w:szCs w:val="32"/>
        </w:rPr>
        <w:t>%由资产经营公司支配。全年共受理120个出租出借事项，其中已登记资产房屋50处，面积合计2,541.65㎡；未登记资产房屋70处，出租面积为3,086.48㎡，年租金114.44万元。截止目前， 70处未登记资产房屋中，水保所49处门面房已登记固定资产，咸阳试验站毕</w:t>
      </w:r>
      <w:proofErr w:type="gramStart"/>
      <w:r>
        <w:rPr>
          <w:rFonts w:ascii="仿宋_GB2312" w:eastAsia="仿宋_GB2312" w:hAnsi="仿宋_GB2312" w:cs="仿宋_GB2312" w:hint="eastAsia"/>
          <w:bCs/>
          <w:kern w:val="2"/>
          <w:sz w:val="32"/>
          <w:szCs w:val="32"/>
        </w:rPr>
        <w:t>塬</w:t>
      </w:r>
      <w:proofErr w:type="gramEnd"/>
      <w:r>
        <w:rPr>
          <w:rFonts w:ascii="仿宋_GB2312" w:eastAsia="仿宋_GB2312" w:hAnsi="仿宋_GB2312" w:cs="仿宋_GB2312" w:hint="eastAsia"/>
          <w:bCs/>
          <w:kern w:val="2"/>
          <w:sz w:val="32"/>
          <w:szCs w:val="32"/>
        </w:rPr>
        <w:t>路7处门面房拆除，剩余果树所7处和原西安办事处2处房屋已经进行了公开招租，签订了合同；斗口试验站3处房屋已和场站管理中心沟通正在收回中；另校内2处房屋已和后勤管理处沟通不再出租。</w:t>
      </w:r>
    </w:p>
    <w:p w:rsidR="00F57F0B" w:rsidRDefault="00325CD2">
      <w:pPr>
        <w:pStyle w:val="a6"/>
        <w:shd w:val="clear" w:color="auto" w:fill="FFFFFF"/>
        <w:spacing w:before="0" w:beforeAutospacing="0" w:after="0" w:afterAutospacing="0" w:line="600" w:lineRule="exact"/>
        <w:ind w:firstLineChars="200" w:firstLine="640"/>
        <w:jc w:val="both"/>
        <w:rPr>
          <w:rFonts w:ascii="仿宋_GB2312" w:eastAsia="仿宋_GB2312" w:hAnsi="仿宋_GB2312" w:cs="仿宋_GB2312"/>
          <w:bCs/>
          <w:kern w:val="2"/>
          <w:sz w:val="32"/>
          <w:szCs w:val="32"/>
        </w:rPr>
      </w:pPr>
      <w:r>
        <w:rPr>
          <w:rFonts w:ascii="仿宋_GB2312" w:eastAsia="仿宋_GB2312" w:hAnsi="仿宋_GB2312" w:cs="仿宋_GB2312" w:hint="eastAsia"/>
          <w:bCs/>
          <w:sz w:val="32"/>
          <w:szCs w:val="32"/>
        </w:rPr>
        <w:t>3.以人为本，全力做好人才保障。全面贯彻人才强校战略，以全面保障人才周转房、团购房供给为抓手，精细化服务人才住房需求，持续提升教职工获得感和幸福感，支撑保</w:t>
      </w:r>
      <w:r>
        <w:rPr>
          <w:rFonts w:ascii="仿宋_GB2312" w:eastAsia="仿宋_GB2312" w:hAnsi="仿宋_GB2312" w:cs="仿宋_GB2312" w:hint="eastAsia"/>
          <w:bCs/>
          <w:sz w:val="32"/>
          <w:szCs w:val="32"/>
        </w:rPr>
        <w:lastRenderedPageBreak/>
        <w:t>障人才强校战略深入实施。截至2020年底，已完成人才公寓1-7号楼产权办理试点工作，完成576套人才团购房房源选定工作，重点安排新进职工周转房111套，调剂分配办公房屋900㎡。</w:t>
      </w:r>
    </w:p>
    <w:p w:rsidR="00F57F0B" w:rsidRDefault="00325CD2">
      <w:pPr>
        <w:pStyle w:val="a6"/>
        <w:shd w:val="clear" w:color="auto" w:fill="FFFFFF"/>
        <w:spacing w:before="0" w:beforeAutospacing="0" w:after="0" w:afterAutospacing="0" w:line="600" w:lineRule="exact"/>
        <w:ind w:firstLine="480"/>
        <w:rPr>
          <w:b/>
          <w:bCs/>
          <w:kern w:val="2"/>
          <w:sz w:val="32"/>
          <w:szCs w:val="32"/>
        </w:rPr>
      </w:pPr>
      <w:r>
        <w:rPr>
          <w:rFonts w:hint="eastAsia"/>
          <w:b/>
          <w:bCs/>
          <w:kern w:val="2"/>
          <w:sz w:val="32"/>
          <w:szCs w:val="32"/>
        </w:rPr>
        <w:t>（四）坚持求实务实、精益求精，推动土地权益维护更加有进有为</w:t>
      </w:r>
    </w:p>
    <w:p w:rsidR="00F57F0B" w:rsidRDefault="00325CD2">
      <w:pPr>
        <w:pStyle w:val="a6"/>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lang w:bidi="ar"/>
        </w:rPr>
      </w:pPr>
      <w:r>
        <w:rPr>
          <w:rFonts w:ascii="仿宋_GB2312" w:eastAsia="仿宋_GB2312" w:hAnsi="仿宋_GB2312" w:cs="仿宋_GB2312" w:hint="eastAsia"/>
          <w:bCs/>
          <w:kern w:val="2"/>
          <w:sz w:val="32"/>
          <w:szCs w:val="32"/>
        </w:rPr>
        <w:t>1.直面问题，持续规范土地出租管理。坚守国有资产保值增值底线不退让，圆满完成校外场站土地情况摸底调研并完成调研报告。坚持非必要不出租原则和土地三年回收计划，全年共回收出租土地11.4亩，并拟定235.91亩土地回收方案，充分运用法律手段确保学校土地权益；依规完成</w:t>
      </w:r>
      <w:r>
        <w:rPr>
          <w:rFonts w:ascii="仿宋_GB2312" w:eastAsia="仿宋_GB2312" w:hAnsi="仿宋_GB2312" w:cs="仿宋_GB2312" w:hint="eastAsia"/>
          <w:sz w:val="32"/>
          <w:szCs w:val="32"/>
        </w:rPr>
        <w:t>540.9</w:t>
      </w:r>
      <w:r>
        <w:rPr>
          <w:rFonts w:ascii="仿宋_GB2312" w:eastAsia="仿宋_GB2312" w:hAnsi="仿宋_GB2312" w:cs="仿宋_GB2312" w:hint="eastAsia"/>
          <w:sz w:val="32"/>
          <w:szCs w:val="32"/>
          <w:lang w:bidi="ar"/>
        </w:rPr>
        <w:t>亩土地出租报批报备工作。</w:t>
      </w:r>
    </w:p>
    <w:p w:rsidR="00F57F0B" w:rsidRDefault="00325CD2">
      <w:pPr>
        <w:pStyle w:val="a6"/>
        <w:shd w:val="clear" w:color="auto" w:fill="FFFFFF"/>
        <w:spacing w:before="0" w:beforeAutospacing="0" w:after="0" w:afterAutospacing="0" w:line="600" w:lineRule="exact"/>
        <w:ind w:firstLineChars="200" w:firstLine="640"/>
        <w:jc w:val="both"/>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2.构建和谐，积极配合当地城市规划建设。2020年，积极配合咸阳市秦都区城市改造，完成学校咸阳毕</w:t>
      </w:r>
      <w:proofErr w:type="gramStart"/>
      <w:r>
        <w:rPr>
          <w:rFonts w:ascii="仿宋_GB2312" w:eastAsia="仿宋_GB2312" w:hAnsi="仿宋_GB2312" w:cs="仿宋_GB2312" w:hint="eastAsia"/>
          <w:bCs/>
          <w:kern w:val="2"/>
          <w:sz w:val="32"/>
          <w:szCs w:val="32"/>
        </w:rPr>
        <w:t>塬</w:t>
      </w:r>
      <w:proofErr w:type="gramEnd"/>
      <w:r>
        <w:rPr>
          <w:rFonts w:ascii="仿宋_GB2312" w:eastAsia="仿宋_GB2312" w:hAnsi="仿宋_GB2312" w:cs="仿宋_GB2312" w:hint="eastAsia"/>
          <w:bCs/>
          <w:kern w:val="2"/>
          <w:sz w:val="32"/>
          <w:szCs w:val="32"/>
        </w:rPr>
        <w:t>路住宅区拆迁处置工作，68户</w:t>
      </w:r>
      <w:proofErr w:type="gramStart"/>
      <w:r>
        <w:rPr>
          <w:rFonts w:ascii="仿宋_GB2312" w:eastAsia="仿宋_GB2312" w:hAnsi="仿宋_GB2312" w:cs="仿宋_GB2312" w:hint="eastAsia"/>
          <w:bCs/>
          <w:kern w:val="2"/>
          <w:sz w:val="32"/>
          <w:szCs w:val="32"/>
        </w:rPr>
        <w:t>涉迁职工</w:t>
      </w:r>
      <w:proofErr w:type="gramEnd"/>
      <w:r>
        <w:rPr>
          <w:rFonts w:ascii="仿宋_GB2312" w:eastAsia="仿宋_GB2312" w:hAnsi="仿宋_GB2312" w:cs="仿宋_GB2312" w:hint="eastAsia"/>
          <w:bCs/>
          <w:kern w:val="2"/>
          <w:sz w:val="32"/>
          <w:szCs w:val="32"/>
        </w:rPr>
        <w:t>全部满意安置；助推周至</w:t>
      </w:r>
      <w:proofErr w:type="gramStart"/>
      <w:r>
        <w:rPr>
          <w:rFonts w:ascii="仿宋_GB2312" w:eastAsia="仿宋_GB2312" w:hAnsi="仿宋_GB2312" w:cs="仿宋_GB2312" w:hint="eastAsia"/>
          <w:bCs/>
          <w:kern w:val="2"/>
          <w:sz w:val="32"/>
          <w:szCs w:val="32"/>
        </w:rPr>
        <w:t>县完善</w:t>
      </w:r>
      <w:proofErr w:type="gramEnd"/>
      <w:r>
        <w:rPr>
          <w:rFonts w:ascii="仿宋_GB2312" w:eastAsia="仿宋_GB2312" w:hAnsi="仿宋_GB2312" w:cs="仿宋_GB2312" w:hint="eastAsia"/>
          <w:bCs/>
          <w:kern w:val="2"/>
          <w:sz w:val="32"/>
          <w:szCs w:val="32"/>
        </w:rPr>
        <w:t>路网格局，提升城市品质，完成二</w:t>
      </w:r>
      <w:proofErr w:type="gramStart"/>
      <w:r>
        <w:rPr>
          <w:rFonts w:ascii="仿宋_GB2312" w:eastAsia="仿宋_GB2312" w:hAnsi="仿宋_GB2312" w:cs="仿宋_GB2312" w:hint="eastAsia"/>
          <w:bCs/>
          <w:kern w:val="2"/>
          <w:sz w:val="32"/>
          <w:szCs w:val="32"/>
        </w:rPr>
        <w:t>曲试验</w:t>
      </w:r>
      <w:proofErr w:type="gramEnd"/>
      <w:r>
        <w:rPr>
          <w:rFonts w:ascii="仿宋_GB2312" w:eastAsia="仿宋_GB2312" w:hAnsi="仿宋_GB2312" w:cs="仿宋_GB2312" w:hint="eastAsia"/>
          <w:bCs/>
          <w:kern w:val="2"/>
          <w:sz w:val="32"/>
          <w:szCs w:val="32"/>
        </w:rPr>
        <w:t>站部分因修路被征占土地的处置移交工作；全力融入秦汉新城建设规划，积极推进咸阳试验站站部和祖代蛋鸡场380亩土地置换工作。</w:t>
      </w:r>
    </w:p>
    <w:p w:rsidR="00F57F0B" w:rsidRDefault="00325CD2">
      <w:pPr>
        <w:pStyle w:val="a6"/>
        <w:shd w:val="clear" w:color="auto" w:fill="FFFFFF"/>
        <w:spacing w:before="0" w:beforeAutospacing="0" w:after="0" w:afterAutospacing="0" w:line="600" w:lineRule="exact"/>
        <w:ind w:firstLine="480"/>
        <w:rPr>
          <w:b/>
          <w:bCs/>
          <w:kern w:val="2"/>
          <w:sz w:val="32"/>
          <w:szCs w:val="32"/>
        </w:rPr>
      </w:pPr>
      <w:r>
        <w:rPr>
          <w:rFonts w:hint="eastAsia"/>
          <w:b/>
          <w:bCs/>
          <w:kern w:val="2"/>
          <w:sz w:val="32"/>
          <w:szCs w:val="32"/>
        </w:rPr>
        <w:t>（五）坚持从严从紧、善管细治，全面强化物资采购过程管理更加有章有法</w:t>
      </w:r>
    </w:p>
    <w:p w:rsidR="00F57F0B" w:rsidRDefault="00325CD2">
      <w:pPr>
        <w:pStyle w:val="a6"/>
        <w:shd w:val="clear" w:color="auto" w:fill="FFFFFF"/>
        <w:spacing w:before="0" w:beforeAutospacing="0" w:after="0" w:afterAutospacing="0" w:line="600" w:lineRule="exact"/>
        <w:ind w:firstLine="480"/>
        <w:rPr>
          <w:rFonts w:ascii="仿宋_GB2312" w:eastAsia="仿宋_GB2312" w:hAnsi="仿宋_GB2312" w:cs="仿宋_GB2312"/>
          <w:sz w:val="32"/>
          <w:szCs w:val="32"/>
        </w:rPr>
      </w:pPr>
      <w:r>
        <w:rPr>
          <w:rFonts w:ascii="仿宋_GB2312" w:eastAsia="仿宋_GB2312" w:hAnsi="仿宋_GB2312" w:cs="仿宋_GB2312" w:hint="eastAsia"/>
          <w:bCs/>
          <w:kern w:val="2"/>
          <w:sz w:val="32"/>
          <w:szCs w:val="32"/>
        </w:rPr>
        <w:t>1.建章立制，优化服务，充分发挥制度体系的规范引导作用。</w:t>
      </w:r>
      <w:r>
        <w:rPr>
          <w:rFonts w:ascii="仿宋_GB2312" w:eastAsia="仿宋_GB2312" w:hAnsi="仿宋_GB2312" w:cs="仿宋_GB2312" w:hint="eastAsia"/>
          <w:sz w:val="32"/>
          <w:szCs w:val="32"/>
        </w:rPr>
        <w:t>按照全面从严治党的要求，以制度建设为主线，不断规范物资采购工作。《物资采购领导小组工作办法》《科研</w:t>
      </w:r>
      <w:r>
        <w:rPr>
          <w:rFonts w:ascii="仿宋_GB2312" w:eastAsia="仿宋_GB2312" w:hAnsi="仿宋_GB2312" w:cs="仿宋_GB2312" w:hint="eastAsia"/>
          <w:sz w:val="32"/>
          <w:szCs w:val="32"/>
        </w:rPr>
        <w:lastRenderedPageBreak/>
        <w:t>急需仪器设备采购办法》《货物和服务采购管理办法》《货物和服务采购管理工作实施细则》《货物和服务采购评审专家管理办法》《货物和服务采购代理机构考核管理办法》《进口科教用品免税办理及管理办法》等6部校内规章制度已于2020年底前完成修（制）订并出台实施。同时，以党建引领业务，通过持续开展“进基层 访师生 送服务”系列支部活动，全年赴各学院等基层单位开展政策制度讲解和</w:t>
      </w:r>
      <w:r>
        <w:rPr>
          <w:rFonts w:ascii="仿宋_GB2312" w:eastAsia="仿宋_GB2312" w:hAnsi="仿宋_GB2312" w:cs="仿宋_GB2312" w:hint="eastAsia"/>
          <w:sz w:val="32"/>
          <w:szCs w:val="32"/>
          <w:lang w:bidi="ar"/>
        </w:rPr>
        <w:t>业务知识专题</w:t>
      </w:r>
      <w:proofErr w:type="gramStart"/>
      <w:r>
        <w:rPr>
          <w:rFonts w:ascii="仿宋_GB2312" w:eastAsia="仿宋_GB2312" w:hAnsi="仿宋_GB2312" w:cs="仿宋_GB2312" w:hint="eastAsia"/>
          <w:sz w:val="32"/>
          <w:szCs w:val="32"/>
          <w:lang w:bidi="ar"/>
        </w:rPr>
        <w:t>辅导近</w:t>
      </w:r>
      <w:proofErr w:type="gramEnd"/>
      <w:r>
        <w:rPr>
          <w:rFonts w:ascii="仿宋_GB2312" w:eastAsia="仿宋_GB2312" w:hAnsi="仿宋_GB2312" w:cs="仿宋_GB2312" w:hint="eastAsia"/>
          <w:sz w:val="32"/>
          <w:szCs w:val="32"/>
          <w:lang w:bidi="ar"/>
        </w:rPr>
        <w:t>40场，基本做到了“业务开展到哪里，培训服务就扎根到哪里，党建活动就延伸到哪里”。</w:t>
      </w:r>
      <w:r>
        <w:rPr>
          <w:rFonts w:ascii="仿宋_GB2312" w:eastAsia="仿宋_GB2312" w:hAnsi="仿宋_GB2312" w:cs="仿宋_GB2312" w:hint="eastAsia"/>
          <w:sz w:val="32"/>
          <w:szCs w:val="32"/>
        </w:rPr>
        <w:t>通过不断建立健全制度体系，采购工作基本形成“以制度管人，按制度办事”的良好局面，资金执行率、预算结余率均持续稳步提升，以制度建设为支点促进管理效能的快速释放。</w:t>
      </w:r>
    </w:p>
    <w:p w:rsidR="00F57F0B" w:rsidRDefault="00325CD2">
      <w:pPr>
        <w:pStyle w:val="a6"/>
        <w:shd w:val="clear" w:color="auto" w:fill="FFFFFF"/>
        <w:spacing w:before="0" w:beforeAutospacing="0" w:after="0" w:afterAutospacing="0" w:line="600" w:lineRule="exact"/>
        <w:ind w:firstLine="480"/>
        <w:rPr>
          <w:rFonts w:ascii="仿宋_GB2312" w:eastAsia="仿宋_GB2312" w:hAnsi="仿宋_GB2312" w:cs="仿宋_GB2312"/>
          <w:sz w:val="32"/>
          <w:szCs w:val="32"/>
          <w:lang w:bidi="ar"/>
        </w:rPr>
      </w:pPr>
      <w:r>
        <w:rPr>
          <w:rFonts w:ascii="仿宋_GB2312" w:eastAsia="仿宋_GB2312" w:hAnsi="仿宋_GB2312" w:cs="仿宋_GB2312" w:hint="eastAsia"/>
          <w:bCs/>
          <w:kern w:val="2"/>
          <w:sz w:val="32"/>
          <w:szCs w:val="32"/>
        </w:rPr>
        <w:t>2.完善措施，规范流程，切实提高政府采购内部控</w:t>
      </w:r>
      <w:r>
        <w:rPr>
          <w:rFonts w:ascii="仿宋_GB2312" w:eastAsia="仿宋_GB2312" w:hAnsi="仿宋_GB2312" w:cs="仿宋_GB2312" w:hint="eastAsia"/>
          <w:sz w:val="32"/>
          <w:szCs w:val="32"/>
          <w:lang w:bidi="ar"/>
        </w:rPr>
        <w:t>制管理水平。完成了采购管理系统升级，将在线监督管理贯穿于采购执行各环节，加强采购管理系统与财务预算、资产管理等信息系统的业务协同、数据共享，切实强化预算，严格履约验收和同步资产入账。全年共完成物资采购296项，执行预算2.06亿元。另外，通过加快预算执行和充分利用财税优惠政策，为学校争取经费487.6万元，其中获批进口设备政府贴息185.7万元，获批国产设备退税301.9万元；享受进口设备免税合计节约730.6万元。</w:t>
      </w:r>
    </w:p>
    <w:p w:rsidR="00F57F0B" w:rsidRDefault="00325CD2">
      <w:pPr>
        <w:pStyle w:val="a6"/>
        <w:shd w:val="clear" w:color="auto" w:fill="FFFFFF"/>
        <w:spacing w:before="0" w:beforeAutospacing="0" w:after="0" w:afterAutospacing="0" w:line="600" w:lineRule="exact"/>
        <w:ind w:firstLine="48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3.加强内控，公开信息，倒逼采购队伍能力建设。严格按照《关于开展政府采购意向公开工作的通知》要求，全力</w:t>
      </w:r>
      <w:r>
        <w:rPr>
          <w:rFonts w:ascii="仿宋_GB2312" w:eastAsia="仿宋_GB2312" w:hAnsi="仿宋_GB2312" w:cs="仿宋_GB2312" w:hint="eastAsia"/>
          <w:sz w:val="32"/>
          <w:szCs w:val="32"/>
          <w:lang w:bidi="ar"/>
        </w:rPr>
        <w:lastRenderedPageBreak/>
        <w:t>做好100万元及以上项目的采购意向公示，扩大影响力,增强采购过程的竞争性,通过加大采购信息公开力度，进一步强化了采购综合监管，倒逼采购相关人员责任意识、法制意识不断强化，主动寻求提升专业水平。国资处通过开展分层分类培训，着重培养了一批既懂业务又懂采购的人员队伍，各基层单位依法使用各种政府采购方式实现采购需求的能力和水平明显提高，财政资金使用绩效不断提升。</w:t>
      </w:r>
    </w:p>
    <w:p w:rsidR="00F57F0B" w:rsidRDefault="00325CD2" w:rsidP="00A43DD0">
      <w:pPr>
        <w:pStyle w:val="a6"/>
        <w:shd w:val="clear" w:color="auto" w:fill="FFFFFF"/>
        <w:spacing w:beforeLines="50" w:before="156" w:beforeAutospacing="0" w:after="0" w:afterAutospacing="0" w:line="600" w:lineRule="exac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 xml:space="preserve">    由于财务管理工作冷畅俭副校长已向教代会作过报告，校办企业管理工作产业办已向</w:t>
      </w:r>
      <w:proofErr w:type="gramStart"/>
      <w:r>
        <w:rPr>
          <w:rFonts w:ascii="仿宋_GB2312" w:eastAsia="仿宋_GB2312" w:hAnsi="仿宋_GB2312" w:cs="仿宋_GB2312" w:hint="eastAsia"/>
          <w:sz w:val="32"/>
          <w:szCs w:val="32"/>
          <w:lang w:bidi="ar"/>
        </w:rPr>
        <w:t>校经资委</w:t>
      </w:r>
      <w:proofErr w:type="gramEnd"/>
      <w:r>
        <w:rPr>
          <w:rFonts w:ascii="仿宋_GB2312" w:eastAsia="仿宋_GB2312" w:hAnsi="仿宋_GB2312" w:cs="仿宋_GB2312" w:hint="eastAsia"/>
          <w:sz w:val="32"/>
          <w:szCs w:val="32"/>
          <w:lang w:bidi="ar"/>
        </w:rPr>
        <w:t>作过报告，在此不再赘述。</w:t>
      </w:r>
    </w:p>
    <w:p w:rsidR="00F57F0B" w:rsidRDefault="00325CD2">
      <w:pPr>
        <w:pStyle w:val="a6"/>
        <w:shd w:val="clear" w:color="auto" w:fill="FFFFFF"/>
        <w:spacing w:before="0" w:beforeAutospacing="0" w:after="0" w:afterAutospacing="0" w:line="600" w:lineRule="exact"/>
        <w:ind w:firstLine="480"/>
        <w:rPr>
          <w:rFonts w:ascii="黑体" w:eastAsia="黑体" w:hAnsi="黑体" w:cs="Times New Roman"/>
          <w:kern w:val="2"/>
          <w:sz w:val="32"/>
          <w:szCs w:val="32"/>
        </w:rPr>
      </w:pPr>
      <w:r>
        <w:rPr>
          <w:rFonts w:ascii="黑体" w:eastAsia="黑体" w:hAnsi="黑体" w:cs="Times New Roman" w:hint="eastAsia"/>
          <w:kern w:val="2"/>
          <w:sz w:val="32"/>
          <w:szCs w:val="32"/>
        </w:rPr>
        <w:t>六、存在的不足</w:t>
      </w:r>
    </w:p>
    <w:p w:rsidR="00A43DD0" w:rsidRPr="00A43DD0" w:rsidRDefault="00583609">
      <w:pPr>
        <w:pStyle w:val="a6"/>
        <w:shd w:val="clear" w:color="auto" w:fill="FFFFFF"/>
        <w:spacing w:before="0" w:beforeAutospacing="0" w:after="0" w:afterAutospacing="0" w:line="600" w:lineRule="exact"/>
        <w:ind w:firstLine="480"/>
        <w:rPr>
          <w:b/>
          <w:bCs/>
          <w:kern w:val="2"/>
          <w:sz w:val="32"/>
          <w:szCs w:val="32"/>
        </w:rPr>
      </w:pPr>
      <w:r>
        <w:rPr>
          <w:rFonts w:hint="eastAsia"/>
          <w:b/>
          <w:bCs/>
          <w:kern w:val="2"/>
          <w:sz w:val="32"/>
          <w:szCs w:val="32"/>
        </w:rPr>
        <w:t>（一）</w:t>
      </w:r>
      <w:r w:rsidR="00A43DD0" w:rsidRPr="00A43DD0">
        <w:rPr>
          <w:rFonts w:hint="eastAsia"/>
          <w:b/>
          <w:bCs/>
          <w:kern w:val="2"/>
          <w:sz w:val="32"/>
          <w:szCs w:val="32"/>
        </w:rPr>
        <w:t>环境变化应对不足</w:t>
      </w:r>
    </w:p>
    <w:p w:rsidR="00F57F0B" w:rsidRDefault="00325CD2">
      <w:pPr>
        <w:pStyle w:val="a6"/>
        <w:shd w:val="clear" w:color="auto" w:fill="FFFFFF"/>
        <w:spacing w:before="0" w:beforeAutospacing="0" w:after="0" w:afterAutospacing="0" w:line="600" w:lineRule="exact"/>
        <w:ind w:firstLine="48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受国际环境变化和新冠疫情双重影响，国有资产由增量发展逐步转向存量发展，国有资产管理工作由原有增量分配逐渐转变为存量扩容，目前我们对此认识不准确、不到位。在收集、发掘和利用资产入账后产生的数据等方面的思维意识还比较匮乏，利用云计算、物联网、区块链、大数据等最新技术开展存量资产管理的创新意识还不强。</w:t>
      </w:r>
    </w:p>
    <w:p w:rsidR="00A43DD0" w:rsidRPr="00A43DD0" w:rsidRDefault="00583609">
      <w:pPr>
        <w:pStyle w:val="a6"/>
        <w:shd w:val="clear" w:color="auto" w:fill="FFFFFF"/>
        <w:spacing w:before="0" w:beforeAutospacing="0" w:after="0" w:afterAutospacing="0" w:line="600" w:lineRule="exact"/>
        <w:ind w:firstLine="480"/>
        <w:rPr>
          <w:b/>
          <w:bCs/>
          <w:kern w:val="2"/>
          <w:sz w:val="32"/>
          <w:szCs w:val="32"/>
        </w:rPr>
      </w:pPr>
      <w:r>
        <w:rPr>
          <w:rFonts w:hint="eastAsia"/>
          <w:b/>
          <w:bCs/>
          <w:kern w:val="2"/>
          <w:sz w:val="32"/>
          <w:szCs w:val="32"/>
        </w:rPr>
        <w:t>（二）</w:t>
      </w:r>
      <w:r w:rsidR="00A43DD0" w:rsidRPr="00A43DD0">
        <w:rPr>
          <w:rFonts w:hint="eastAsia"/>
          <w:b/>
          <w:bCs/>
          <w:kern w:val="2"/>
          <w:sz w:val="32"/>
          <w:szCs w:val="32"/>
        </w:rPr>
        <w:t>数据资产管理利用效率低</w:t>
      </w:r>
    </w:p>
    <w:p w:rsidR="00F57F0B" w:rsidRDefault="00325CD2">
      <w:pPr>
        <w:pStyle w:val="a6"/>
        <w:shd w:val="clear" w:color="auto" w:fill="FFFFFF"/>
        <w:spacing w:before="0" w:beforeAutospacing="0" w:after="0" w:afterAutospacing="0" w:line="600" w:lineRule="exact"/>
        <w:ind w:firstLine="48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虽然建立了资产管理数据系统，但是科学利用数据资源、挖掘数据信息内在规律的能力还不强，数据分析利用率低。资产信息管理以手工管理和局部使用计算机自动化管理形式居多，数据的交叉分析和智能管理较少，数据系统之间不</w:t>
      </w:r>
      <w:r>
        <w:rPr>
          <w:rFonts w:ascii="仿宋_GB2312" w:eastAsia="仿宋_GB2312" w:hAnsi="仿宋_GB2312" w:cs="仿宋_GB2312" w:hint="eastAsia"/>
          <w:sz w:val="32"/>
          <w:szCs w:val="32"/>
          <w:lang w:bidi="ar"/>
        </w:rPr>
        <w:lastRenderedPageBreak/>
        <w:t>能互联互通导致数据利用率低，无法真正发挥数据的作用，对学校“十四五”发展规划等战略支撑不足。</w:t>
      </w:r>
    </w:p>
    <w:p w:rsidR="00A43DD0" w:rsidRPr="00A43DD0" w:rsidRDefault="00583609">
      <w:pPr>
        <w:pStyle w:val="a6"/>
        <w:shd w:val="clear" w:color="auto" w:fill="FFFFFF"/>
        <w:spacing w:before="0" w:beforeAutospacing="0" w:after="0" w:afterAutospacing="0" w:line="600" w:lineRule="exact"/>
        <w:ind w:firstLine="480"/>
        <w:rPr>
          <w:b/>
          <w:bCs/>
          <w:kern w:val="2"/>
          <w:sz w:val="32"/>
          <w:szCs w:val="32"/>
        </w:rPr>
      </w:pPr>
      <w:r>
        <w:rPr>
          <w:rFonts w:hint="eastAsia"/>
          <w:b/>
          <w:bCs/>
          <w:kern w:val="2"/>
          <w:sz w:val="32"/>
          <w:szCs w:val="32"/>
        </w:rPr>
        <w:t>（三）</w:t>
      </w:r>
      <w:r w:rsidR="00A43DD0" w:rsidRPr="00A43DD0">
        <w:rPr>
          <w:rFonts w:hint="eastAsia"/>
          <w:b/>
          <w:bCs/>
          <w:kern w:val="2"/>
          <w:sz w:val="32"/>
          <w:szCs w:val="32"/>
        </w:rPr>
        <w:t>缺少严格的绩效考核和管理评价</w:t>
      </w:r>
    </w:p>
    <w:p w:rsidR="00F57F0B" w:rsidRDefault="00325CD2">
      <w:pPr>
        <w:pStyle w:val="a6"/>
        <w:shd w:val="clear" w:color="auto" w:fill="FFFFFF"/>
        <w:spacing w:before="0" w:beforeAutospacing="0" w:after="0" w:afterAutospacing="0" w:line="600" w:lineRule="exact"/>
        <w:ind w:firstLine="48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国有资产管理的信息化发展已初具模型，但由于系统的功能模块没有充分开发，还缺乏相应的考核评价功能。在国有资产管理信息化过程中没有完善、有效的国有资产评估指标，国有资产绩效考核和管理评价工作主要还是依靠人工开展，只在规定时间填写有关资料然后上报，使国有资产管理结果的考核和评估缺乏准确性和可靠性，监管部门和归口管理部门也不能全面的掌握国有资产使用情况，存在国有资产的闲置和浪费的风险。</w:t>
      </w:r>
    </w:p>
    <w:p w:rsidR="00F57F0B" w:rsidRDefault="00325CD2">
      <w:pPr>
        <w:pStyle w:val="a6"/>
        <w:shd w:val="clear" w:color="auto" w:fill="FFFFFF"/>
        <w:spacing w:before="0" w:beforeAutospacing="0" w:after="0" w:afterAutospacing="0" w:line="600" w:lineRule="exact"/>
        <w:ind w:firstLine="480"/>
        <w:rPr>
          <w:rFonts w:ascii="黑体" w:eastAsia="黑体" w:hAnsi="黑体" w:cs="Times New Roman"/>
          <w:kern w:val="2"/>
          <w:sz w:val="32"/>
          <w:szCs w:val="32"/>
        </w:rPr>
      </w:pPr>
      <w:r>
        <w:rPr>
          <w:rFonts w:ascii="黑体" w:eastAsia="黑体" w:hAnsi="黑体" w:cs="Times New Roman" w:hint="eastAsia"/>
          <w:kern w:val="2"/>
          <w:sz w:val="32"/>
          <w:szCs w:val="32"/>
        </w:rPr>
        <w:t>七、2021年工作计划</w:t>
      </w:r>
    </w:p>
    <w:p w:rsidR="00F57F0B" w:rsidRDefault="00325CD2">
      <w:pPr>
        <w:pStyle w:val="a6"/>
        <w:shd w:val="clear" w:color="auto" w:fill="FFFFFF"/>
        <w:spacing w:before="0" w:beforeAutospacing="0" w:after="0" w:afterAutospacing="0" w:line="600" w:lineRule="exact"/>
        <w:ind w:firstLine="48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2021年是学校实施“十四五”规划的开局之年，是开启全面建设社会主义现代化国家新征程、向第二个百年奋斗目标进军的第一年。国资委将进一步增强工作的主动性和创造性，推动新一年国有资产管理各项工作全面出新出彩。</w:t>
      </w:r>
    </w:p>
    <w:p w:rsidR="00F57F0B" w:rsidRDefault="005D2C86">
      <w:pPr>
        <w:pStyle w:val="a6"/>
        <w:shd w:val="clear" w:color="auto" w:fill="FFFFFF"/>
        <w:spacing w:before="0" w:beforeAutospacing="0" w:after="0" w:afterAutospacing="0" w:line="600" w:lineRule="exact"/>
        <w:ind w:firstLine="480"/>
        <w:rPr>
          <w:b/>
          <w:bCs/>
          <w:kern w:val="2"/>
          <w:sz w:val="32"/>
          <w:szCs w:val="32"/>
        </w:rPr>
      </w:pPr>
      <w:r>
        <w:rPr>
          <w:rFonts w:hint="eastAsia"/>
          <w:b/>
          <w:bCs/>
          <w:kern w:val="2"/>
          <w:sz w:val="32"/>
          <w:szCs w:val="32"/>
        </w:rPr>
        <w:t>（一）</w:t>
      </w:r>
      <w:r w:rsidR="00325CD2">
        <w:rPr>
          <w:rFonts w:hint="eastAsia"/>
          <w:b/>
          <w:bCs/>
          <w:kern w:val="2"/>
          <w:sz w:val="32"/>
          <w:szCs w:val="32"/>
        </w:rPr>
        <w:t>加强国有资产管理改革顶层设计，做实“十四五”发展布局谋篇</w:t>
      </w:r>
    </w:p>
    <w:p w:rsidR="00F57F0B" w:rsidRDefault="00325CD2">
      <w:pPr>
        <w:widowControl/>
        <w:shd w:val="clear" w:color="auto" w:fill="FFFFFF"/>
        <w:spacing w:line="600" w:lineRule="exact"/>
        <w:ind w:firstLine="640"/>
        <w:rPr>
          <w:rFonts w:ascii="Calibri" w:hAnsi="Calibri" w:cs="Calibri"/>
          <w:szCs w:val="21"/>
        </w:rPr>
      </w:pPr>
      <w:r>
        <w:rPr>
          <w:rFonts w:ascii="仿宋_GB2312" w:eastAsia="仿宋_GB2312" w:hAnsi="仿宋_GB2312" w:cs="仿宋_GB2312" w:hint="eastAsia"/>
          <w:sz w:val="32"/>
          <w:szCs w:val="32"/>
          <w:lang w:bidi="ar"/>
        </w:rPr>
        <w:t>坚持以习近平新时代中国特色社会主义思想为指导，贯彻落实学校工作会议精神，坚持稳中求进工作总基调，把握新发展阶段，贯彻新发展理念，促进构建新发展格局，以配合科学编制“十四五”发展规划为引领，以资产数据向数据资产转化为动力，以提升资产保障能级为目标，着力推动国</w:t>
      </w:r>
      <w:r>
        <w:rPr>
          <w:rFonts w:ascii="仿宋_GB2312" w:eastAsia="仿宋_GB2312" w:hAnsi="仿宋_GB2312" w:cs="仿宋_GB2312" w:hint="eastAsia"/>
          <w:sz w:val="32"/>
          <w:szCs w:val="32"/>
          <w:lang w:bidi="ar"/>
        </w:rPr>
        <w:lastRenderedPageBreak/>
        <w:t>有资产管理领域的问题整改，持续推动国资</w:t>
      </w:r>
      <w:proofErr w:type="gramStart"/>
      <w:r>
        <w:rPr>
          <w:rFonts w:ascii="仿宋_GB2312" w:eastAsia="仿宋_GB2312" w:hAnsi="仿宋_GB2312" w:cs="仿宋_GB2312" w:hint="eastAsia"/>
          <w:sz w:val="32"/>
          <w:szCs w:val="32"/>
          <w:lang w:bidi="ar"/>
        </w:rPr>
        <w:t>委战略</w:t>
      </w:r>
      <w:proofErr w:type="gramEnd"/>
      <w:r>
        <w:rPr>
          <w:rFonts w:ascii="仿宋_GB2312" w:eastAsia="仿宋_GB2312" w:hAnsi="仿宋_GB2312" w:cs="仿宋_GB2312" w:hint="eastAsia"/>
          <w:sz w:val="32"/>
          <w:szCs w:val="32"/>
          <w:lang w:bidi="ar"/>
        </w:rPr>
        <w:t>支撑作用发挥；以构建国有资产权属、归口和使用三级管理机制为抓手，统筹战略支撑和服务保障两件大事，不断提升国有资产配置水平</w:t>
      </w:r>
      <w:r>
        <w:rPr>
          <w:rFonts w:ascii="仿宋_GB2312" w:eastAsia="仿宋_GB2312" w:hAnsi="仿宋_GB2312" w:cs="仿宋_GB2312" w:hint="eastAsia"/>
          <w:kern w:val="0"/>
          <w:sz w:val="32"/>
          <w:szCs w:val="32"/>
          <w:shd w:val="clear" w:color="auto" w:fill="FFFFFF"/>
          <w:lang w:bidi="ar"/>
        </w:rPr>
        <w:t>。</w:t>
      </w:r>
    </w:p>
    <w:p w:rsidR="00F57F0B" w:rsidRDefault="005D2C86">
      <w:pPr>
        <w:pStyle w:val="a6"/>
        <w:shd w:val="clear" w:color="auto" w:fill="FFFFFF"/>
        <w:spacing w:before="0" w:beforeAutospacing="0" w:after="0" w:afterAutospacing="0" w:line="600" w:lineRule="exact"/>
        <w:ind w:firstLine="480"/>
        <w:rPr>
          <w:b/>
          <w:bCs/>
          <w:kern w:val="2"/>
          <w:sz w:val="32"/>
          <w:szCs w:val="32"/>
        </w:rPr>
      </w:pPr>
      <w:r>
        <w:rPr>
          <w:rFonts w:hint="eastAsia"/>
          <w:b/>
          <w:bCs/>
          <w:kern w:val="2"/>
          <w:sz w:val="32"/>
          <w:szCs w:val="32"/>
        </w:rPr>
        <w:t>（二）</w:t>
      </w:r>
      <w:r w:rsidR="00325CD2">
        <w:rPr>
          <w:rFonts w:hint="eastAsia"/>
          <w:b/>
          <w:bCs/>
          <w:kern w:val="2"/>
          <w:sz w:val="32"/>
          <w:szCs w:val="32"/>
        </w:rPr>
        <w:t>提升资产承载能级，积极保障学校事业高质量发展</w:t>
      </w:r>
    </w:p>
    <w:p w:rsidR="00F57F0B" w:rsidRDefault="00325CD2">
      <w:pPr>
        <w:pStyle w:val="a6"/>
        <w:shd w:val="clear" w:color="auto" w:fill="FFFFFF"/>
        <w:spacing w:before="0" w:beforeAutospacing="0" w:after="0" w:afterAutospacing="0" w:line="600" w:lineRule="exact"/>
        <w:ind w:firstLine="480"/>
        <w:rPr>
          <w:rFonts w:ascii="仿宋" w:eastAsia="仿宋" w:hAnsi="仿宋" w:cs="仿宋"/>
          <w:kern w:val="2"/>
          <w:sz w:val="32"/>
          <w:szCs w:val="32"/>
          <w:lang w:bidi="ar"/>
        </w:rPr>
      </w:pPr>
      <w:r>
        <w:rPr>
          <w:rFonts w:ascii="仿宋_GB2312" w:eastAsia="仿宋_GB2312" w:hAnsi="仿宋_GB2312" w:cs="仿宋_GB2312" w:hint="eastAsia"/>
          <w:sz w:val="32"/>
          <w:szCs w:val="32"/>
          <w:lang w:bidi="ar"/>
        </w:rPr>
        <w:t>紧密围绕“深入推进教育评价改革和深化巡视巡察整改”主题年建设任务，</w:t>
      </w:r>
      <w:r>
        <w:rPr>
          <w:rFonts w:ascii="仿宋_GB2312" w:eastAsia="仿宋_GB2312" w:hAnsi="仿宋_GB2312" w:cs="仿宋_GB2312" w:hint="eastAsia"/>
          <w:kern w:val="2"/>
          <w:sz w:val="32"/>
          <w:szCs w:val="32"/>
          <w:lang w:bidi="ar"/>
        </w:rPr>
        <w:t>聚焦</w:t>
      </w:r>
      <w:r>
        <w:rPr>
          <w:rFonts w:ascii="仿宋_GB2312" w:eastAsia="仿宋_GB2312" w:hAnsi="仿宋_GB2312" w:cs="仿宋_GB2312" w:hint="eastAsia"/>
          <w:sz w:val="32"/>
          <w:szCs w:val="32"/>
          <w:shd w:val="clear" w:color="auto" w:fill="FFFFFF"/>
          <w:lang w:bidi="ar"/>
        </w:rPr>
        <w:t>学校“十四五”规划，不断</w:t>
      </w:r>
      <w:r>
        <w:rPr>
          <w:rFonts w:ascii="仿宋_GB2312" w:eastAsia="仿宋_GB2312" w:hAnsi="仿宋_GB2312" w:cs="仿宋_GB2312" w:hint="eastAsia"/>
          <w:kern w:val="2"/>
          <w:sz w:val="32"/>
          <w:szCs w:val="32"/>
          <w:lang w:bidi="ar"/>
        </w:rPr>
        <w:t>优化资产结构，</w:t>
      </w:r>
      <w:r>
        <w:rPr>
          <w:rFonts w:ascii="仿宋_GB2312" w:eastAsia="仿宋_GB2312" w:hAnsi="仿宋_GB2312" w:cs="仿宋_GB2312" w:hint="eastAsia"/>
          <w:sz w:val="32"/>
          <w:szCs w:val="32"/>
          <w:shd w:val="clear" w:color="auto" w:fill="FFFFFF"/>
          <w:lang w:bidi="ar"/>
        </w:rPr>
        <w:t>加大绩效考核力度和考评结果运用，</w:t>
      </w:r>
      <w:r>
        <w:rPr>
          <w:rFonts w:ascii="仿宋_GB2312" w:eastAsia="仿宋_GB2312" w:hAnsi="仿宋_GB2312" w:cs="仿宋_GB2312" w:hint="eastAsia"/>
          <w:kern w:val="2"/>
          <w:sz w:val="32"/>
          <w:szCs w:val="32"/>
          <w:lang w:bidi="ar"/>
        </w:rPr>
        <w:t>积极推动资源共享，着力提升国有资产承载容量，</w:t>
      </w:r>
      <w:r>
        <w:rPr>
          <w:rFonts w:ascii="仿宋_GB2312" w:eastAsia="仿宋_GB2312" w:hAnsi="仿宋_GB2312" w:cs="仿宋_GB2312" w:hint="eastAsia"/>
          <w:sz w:val="32"/>
          <w:szCs w:val="32"/>
          <w:shd w:val="clear" w:color="auto" w:fill="FFFFFF"/>
          <w:lang w:bidi="ar"/>
        </w:rPr>
        <w:t>推动国有资产向学校的重大决策部署和重点学科方向集中。</w:t>
      </w:r>
      <w:r>
        <w:rPr>
          <w:rFonts w:ascii="仿宋_GB2312" w:eastAsia="仿宋_GB2312" w:hAnsi="仿宋_GB2312" w:cs="仿宋_GB2312" w:hint="eastAsia"/>
          <w:kern w:val="2"/>
          <w:sz w:val="32"/>
          <w:szCs w:val="32"/>
          <w:lang w:bidi="ar"/>
        </w:rPr>
        <w:t>聚焦</w:t>
      </w:r>
      <w:r>
        <w:rPr>
          <w:rFonts w:ascii="仿宋_GB2312" w:eastAsia="仿宋_GB2312" w:hAnsi="仿宋_GB2312" w:cs="仿宋_GB2312" w:hint="eastAsia"/>
          <w:sz w:val="32"/>
          <w:szCs w:val="32"/>
          <w:shd w:val="clear" w:color="auto" w:fill="FFFFFF"/>
          <w:lang w:bidi="ar"/>
        </w:rPr>
        <w:t>廉政风险防范制体系建设，落实巡视巡察整改任务，</w:t>
      </w:r>
      <w:r>
        <w:rPr>
          <w:rFonts w:ascii="仿宋_GB2312" w:eastAsia="仿宋_GB2312" w:hAnsi="仿宋_GB2312" w:cs="仿宋_GB2312" w:hint="eastAsia"/>
          <w:kern w:val="2"/>
          <w:sz w:val="32"/>
          <w:szCs w:val="32"/>
          <w:lang w:bidi="ar"/>
        </w:rPr>
        <w:t>持续发力补齐发展短板，切实防范化解潜在风险。</w:t>
      </w:r>
    </w:p>
    <w:p w:rsidR="00F57F0B" w:rsidRDefault="005D2C86">
      <w:pPr>
        <w:pStyle w:val="a6"/>
        <w:shd w:val="clear" w:color="auto" w:fill="FFFFFF"/>
        <w:spacing w:before="0" w:beforeAutospacing="0" w:after="0" w:afterAutospacing="0" w:line="600" w:lineRule="exact"/>
        <w:ind w:firstLine="480"/>
        <w:rPr>
          <w:b/>
          <w:bCs/>
          <w:kern w:val="2"/>
          <w:sz w:val="32"/>
          <w:szCs w:val="32"/>
        </w:rPr>
      </w:pPr>
      <w:r>
        <w:rPr>
          <w:rFonts w:hint="eastAsia"/>
          <w:b/>
          <w:bCs/>
          <w:kern w:val="2"/>
          <w:sz w:val="32"/>
          <w:szCs w:val="32"/>
        </w:rPr>
        <w:t>（三）</w:t>
      </w:r>
      <w:r w:rsidR="00325CD2">
        <w:rPr>
          <w:rFonts w:hint="eastAsia"/>
          <w:b/>
          <w:bCs/>
          <w:kern w:val="2"/>
          <w:sz w:val="32"/>
          <w:szCs w:val="32"/>
        </w:rPr>
        <w:t>加强新政新</w:t>
      </w:r>
      <w:proofErr w:type="gramStart"/>
      <w:r w:rsidR="00325CD2">
        <w:rPr>
          <w:rFonts w:hint="eastAsia"/>
          <w:b/>
          <w:bCs/>
          <w:kern w:val="2"/>
          <w:sz w:val="32"/>
          <w:szCs w:val="32"/>
        </w:rPr>
        <w:t>规</w:t>
      </w:r>
      <w:proofErr w:type="gramEnd"/>
      <w:r w:rsidR="00325CD2">
        <w:rPr>
          <w:rFonts w:hint="eastAsia"/>
          <w:b/>
          <w:bCs/>
          <w:kern w:val="2"/>
          <w:sz w:val="32"/>
          <w:szCs w:val="32"/>
        </w:rPr>
        <w:t>培训，全面</w:t>
      </w:r>
      <w:proofErr w:type="gramStart"/>
      <w:r w:rsidR="00325CD2">
        <w:rPr>
          <w:rFonts w:hint="eastAsia"/>
          <w:b/>
          <w:bCs/>
          <w:kern w:val="2"/>
          <w:sz w:val="32"/>
          <w:szCs w:val="32"/>
        </w:rPr>
        <w:t>提升国</w:t>
      </w:r>
      <w:proofErr w:type="gramEnd"/>
      <w:r w:rsidR="00325CD2">
        <w:rPr>
          <w:rFonts w:hint="eastAsia"/>
          <w:b/>
          <w:bCs/>
          <w:kern w:val="2"/>
          <w:sz w:val="32"/>
          <w:szCs w:val="32"/>
        </w:rPr>
        <w:t>资管理队伍建设</w:t>
      </w:r>
    </w:p>
    <w:p w:rsidR="00F57F0B" w:rsidRDefault="00325CD2">
      <w:pPr>
        <w:widowControl/>
        <w:shd w:val="clear" w:color="auto" w:fill="FFFFFF"/>
        <w:spacing w:line="600" w:lineRule="exact"/>
        <w:ind w:firstLine="640"/>
        <w:rPr>
          <w:rFonts w:ascii="仿宋_GB2312" w:eastAsia="仿宋_GB2312" w:hAnsi="Times New Roman" w:cs="仿宋_GB2312"/>
          <w:kern w:val="0"/>
          <w:sz w:val="32"/>
          <w:szCs w:val="32"/>
          <w:shd w:val="clear" w:color="auto" w:fill="FFFFFF"/>
          <w:lang w:bidi="ar"/>
        </w:rPr>
      </w:pPr>
      <w:r>
        <w:rPr>
          <w:rFonts w:ascii="仿宋_GB2312" w:eastAsia="仿宋_GB2312" w:hAnsi="Times New Roman" w:cs="仿宋_GB2312" w:hint="eastAsia"/>
          <w:kern w:val="0"/>
          <w:sz w:val="32"/>
          <w:szCs w:val="32"/>
          <w:shd w:val="clear" w:color="auto" w:fill="FFFFFF"/>
          <w:lang w:bidi="ar"/>
        </w:rPr>
        <w:t>按照教育部信息化建设、国有资产管理相关要求，不断提升国有资产管理理念，引导国有资产管理信息化从将原有信息保存到网络上，向将信息化系统作为分析和预测的工具转变，向推动资产管理的流程再造转变，促进资源的合理配置转变，充分激活数据数字引擎，避免资金的浪费和资源的囤积，提升数据资产管理质量，进一步提高资源分配的效率。</w:t>
      </w:r>
    </w:p>
    <w:p w:rsidR="00F57F0B" w:rsidRDefault="00F57F0B">
      <w:pPr>
        <w:pStyle w:val="BodyTextFirstIndent21"/>
        <w:ind w:leftChars="0" w:left="0" w:firstLineChars="0" w:firstLine="0"/>
        <w:rPr>
          <w:rFonts w:ascii="仿宋_GB2312" w:eastAsia="仿宋_GB2312" w:cs="仿宋_GB2312"/>
          <w:kern w:val="0"/>
          <w:sz w:val="32"/>
          <w:szCs w:val="32"/>
          <w:shd w:val="clear" w:color="auto" w:fill="FFFFFF"/>
          <w:lang w:bidi="ar"/>
        </w:rPr>
      </w:pPr>
    </w:p>
    <w:p w:rsidR="00F57F0B" w:rsidRDefault="00325CD2">
      <w:pPr>
        <w:pStyle w:val="BodyTextFirstIndent21"/>
        <w:ind w:firstLineChars="800" w:firstLine="2560"/>
        <w:rPr>
          <w:rFonts w:ascii="仿宋_GB2312" w:eastAsia="仿宋_GB2312" w:cs="仿宋_GB2312"/>
          <w:kern w:val="0"/>
          <w:sz w:val="32"/>
          <w:szCs w:val="32"/>
          <w:shd w:val="clear" w:color="auto" w:fill="FFFFFF"/>
          <w:lang w:bidi="ar"/>
        </w:rPr>
      </w:pPr>
      <w:r>
        <w:rPr>
          <w:rFonts w:ascii="仿宋_GB2312" w:eastAsia="仿宋_GB2312" w:cs="仿宋_GB2312" w:hint="eastAsia"/>
          <w:kern w:val="0"/>
          <w:sz w:val="32"/>
          <w:szCs w:val="32"/>
          <w:shd w:val="clear" w:color="auto" w:fill="FFFFFF"/>
          <w:lang w:bidi="ar"/>
        </w:rPr>
        <w:t>国有资产监管管理委员会办公室</w:t>
      </w:r>
    </w:p>
    <w:p w:rsidR="00F57F0B" w:rsidRDefault="00325CD2">
      <w:pPr>
        <w:pStyle w:val="BodyTextFirstIndent21"/>
        <w:ind w:firstLineChars="1150" w:firstLine="3680"/>
        <w:rPr>
          <w:rFonts w:ascii="仿宋_GB2312" w:eastAsia="仿宋_GB2312" w:cs="仿宋_GB2312"/>
          <w:kern w:val="0"/>
          <w:sz w:val="32"/>
          <w:szCs w:val="32"/>
          <w:shd w:val="clear" w:color="auto" w:fill="FFFFFF"/>
          <w:lang w:bidi="ar"/>
        </w:rPr>
      </w:pPr>
      <w:r>
        <w:rPr>
          <w:rFonts w:ascii="仿宋_GB2312" w:eastAsia="仿宋_GB2312" w:cs="仿宋_GB2312" w:hint="eastAsia"/>
          <w:kern w:val="0"/>
          <w:sz w:val="32"/>
          <w:szCs w:val="32"/>
          <w:shd w:val="clear" w:color="auto" w:fill="FFFFFF"/>
          <w:lang w:bidi="ar"/>
        </w:rPr>
        <w:t>2021年3月31日</w:t>
      </w:r>
    </w:p>
    <w:sectPr w:rsidR="00F57F0B">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0E" w:rsidRDefault="00954F0E">
      <w:r>
        <w:separator/>
      </w:r>
    </w:p>
  </w:endnote>
  <w:endnote w:type="continuationSeparator" w:id="0">
    <w:p w:rsidR="00954F0E" w:rsidRDefault="0095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B" w:rsidRDefault="00325CD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7F0B" w:rsidRDefault="00325CD2">
                          <w:pPr>
                            <w:pStyle w:val="a4"/>
                          </w:pPr>
                          <w:r>
                            <w:fldChar w:fldCharType="begin"/>
                          </w:r>
                          <w:r>
                            <w:instrText xml:space="preserve"> PAGE  \* MERGEFORMAT </w:instrText>
                          </w:r>
                          <w:r>
                            <w:fldChar w:fldCharType="separate"/>
                          </w:r>
                          <w:r w:rsidR="00BD5D5B">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F57F0B" w:rsidRDefault="00325CD2">
                    <w:pPr>
                      <w:pStyle w:val="a4"/>
                    </w:pPr>
                    <w:r>
                      <w:fldChar w:fldCharType="begin"/>
                    </w:r>
                    <w:r>
                      <w:instrText xml:space="preserve"> PAGE  \* MERGEFORMAT </w:instrText>
                    </w:r>
                    <w:r>
                      <w:fldChar w:fldCharType="separate"/>
                    </w:r>
                    <w:r w:rsidR="00BD5D5B">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0E" w:rsidRDefault="00954F0E">
      <w:r>
        <w:separator/>
      </w:r>
    </w:p>
  </w:footnote>
  <w:footnote w:type="continuationSeparator" w:id="0">
    <w:p w:rsidR="00954F0E" w:rsidRDefault="00954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A0"/>
    <w:rsid w:val="00000330"/>
    <w:rsid w:val="0000049F"/>
    <w:rsid w:val="00002D35"/>
    <w:rsid w:val="0000483A"/>
    <w:rsid w:val="0000544F"/>
    <w:rsid w:val="00005AC4"/>
    <w:rsid w:val="00005AFF"/>
    <w:rsid w:val="00012A39"/>
    <w:rsid w:val="00016006"/>
    <w:rsid w:val="000215C7"/>
    <w:rsid w:val="00023AD7"/>
    <w:rsid w:val="00023E56"/>
    <w:rsid w:val="00030EFE"/>
    <w:rsid w:val="00034B0D"/>
    <w:rsid w:val="0004185B"/>
    <w:rsid w:val="00041B02"/>
    <w:rsid w:val="000512E2"/>
    <w:rsid w:val="00052E8B"/>
    <w:rsid w:val="000541B9"/>
    <w:rsid w:val="00054D24"/>
    <w:rsid w:val="00057BC1"/>
    <w:rsid w:val="00057C38"/>
    <w:rsid w:val="000626E0"/>
    <w:rsid w:val="0006498D"/>
    <w:rsid w:val="00064AC6"/>
    <w:rsid w:val="00066BB4"/>
    <w:rsid w:val="00066E3E"/>
    <w:rsid w:val="00067C77"/>
    <w:rsid w:val="0007079A"/>
    <w:rsid w:val="00070906"/>
    <w:rsid w:val="00081370"/>
    <w:rsid w:val="000815F2"/>
    <w:rsid w:val="000820B6"/>
    <w:rsid w:val="00084769"/>
    <w:rsid w:val="00084AFE"/>
    <w:rsid w:val="000962CC"/>
    <w:rsid w:val="000A111E"/>
    <w:rsid w:val="000A4730"/>
    <w:rsid w:val="000A5C9B"/>
    <w:rsid w:val="000A6980"/>
    <w:rsid w:val="000A7501"/>
    <w:rsid w:val="000B2659"/>
    <w:rsid w:val="000B52DE"/>
    <w:rsid w:val="000B645C"/>
    <w:rsid w:val="000C0B99"/>
    <w:rsid w:val="000C4F0E"/>
    <w:rsid w:val="000C6C26"/>
    <w:rsid w:val="000D0248"/>
    <w:rsid w:val="000D7C64"/>
    <w:rsid w:val="000E39DE"/>
    <w:rsid w:val="000F3E4A"/>
    <w:rsid w:val="000F65C0"/>
    <w:rsid w:val="000F76BD"/>
    <w:rsid w:val="00102E31"/>
    <w:rsid w:val="001036DA"/>
    <w:rsid w:val="001046F1"/>
    <w:rsid w:val="00104BB9"/>
    <w:rsid w:val="00106651"/>
    <w:rsid w:val="00107319"/>
    <w:rsid w:val="00110485"/>
    <w:rsid w:val="001117B8"/>
    <w:rsid w:val="00111825"/>
    <w:rsid w:val="00111A72"/>
    <w:rsid w:val="00114E0B"/>
    <w:rsid w:val="00115F74"/>
    <w:rsid w:val="001218A6"/>
    <w:rsid w:val="00133AC3"/>
    <w:rsid w:val="00134941"/>
    <w:rsid w:val="0013537C"/>
    <w:rsid w:val="001400D0"/>
    <w:rsid w:val="00140746"/>
    <w:rsid w:val="001426B5"/>
    <w:rsid w:val="00145901"/>
    <w:rsid w:val="00147E44"/>
    <w:rsid w:val="00150732"/>
    <w:rsid w:val="00152296"/>
    <w:rsid w:val="001522DA"/>
    <w:rsid w:val="00160012"/>
    <w:rsid w:val="0016214B"/>
    <w:rsid w:val="00165A51"/>
    <w:rsid w:val="001734E7"/>
    <w:rsid w:val="00173F1D"/>
    <w:rsid w:val="001760D7"/>
    <w:rsid w:val="001778F9"/>
    <w:rsid w:val="0018056F"/>
    <w:rsid w:val="00183DBB"/>
    <w:rsid w:val="00184D14"/>
    <w:rsid w:val="00186510"/>
    <w:rsid w:val="001877F4"/>
    <w:rsid w:val="001916F4"/>
    <w:rsid w:val="001923CB"/>
    <w:rsid w:val="001A4160"/>
    <w:rsid w:val="001B5259"/>
    <w:rsid w:val="001B772D"/>
    <w:rsid w:val="001C4B4E"/>
    <w:rsid w:val="001D07E6"/>
    <w:rsid w:val="001D086E"/>
    <w:rsid w:val="001E04D5"/>
    <w:rsid w:val="001E1D29"/>
    <w:rsid w:val="001F17F0"/>
    <w:rsid w:val="001F2347"/>
    <w:rsid w:val="001F3D0A"/>
    <w:rsid w:val="002003BF"/>
    <w:rsid w:val="00203148"/>
    <w:rsid w:val="002101FC"/>
    <w:rsid w:val="00210641"/>
    <w:rsid w:val="002168D9"/>
    <w:rsid w:val="00216CAE"/>
    <w:rsid w:val="00217526"/>
    <w:rsid w:val="0022369E"/>
    <w:rsid w:val="0022676F"/>
    <w:rsid w:val="002303CE"/>
    <w:rsid w:val="0023481E"/>
    <w:rsid w:val="00235A4A"/>
    <w:rsid w:val="00244624"/>
    <w:rsid w:val="00245107"/>
    <w:rsid w:val="00245B2F"/>
    <w:rsid w:val="002464B9"/>
    <w:rsid w:val="00253A6F"/>
    <w:rsid w:val="00257B00"/>
    <w:rsid w:val="002637AA"/>
    <w:rsid w:val="00265444"/>
    <w:rsid w:val="00270592"/>
    <w:rsid w:val="0027711B"/>
    <w:rsid w:val="00285CE4"/>
    <w:rsid w:val="002930BC"/>
    <w:rsid w:val="002A2056"/>
    <w:rsid w:val="002A2EFD"/>
    <w:rsid w:val="002B06FD"/>
    <w:rsid w:val="002B2DFB"/>
    <w:rsid w:val="002B3497"/>
    <w:rsid w:val="002D0FFD"/>
    <w:rsid w:val="002D3666"/>
    <w:rsid w:val="002D407D"/>
    <w:rsid w:val="002E2EA4"/>
    <w:rsid w:val="002E74D7"/>
    <w:rsid w:val="002F2CFC"/>
    <w:rsid w:val="002F3288"/>
    <w:rsid w:val="002F3503"/>
    <w:rsid w:val="002F35A1"/>
    <w:rsid w:val="002F4795"/>
    <w:rsid w:val="002F74EA"/>
    <w:rsid w:val="002F7D6C"/>
    <w:rsid w:val="00301F53"/>
    <w:rsid w:val="00306AC2"/>
    <w:rsid w:val="003102E6"/>
    <w:rsid w:val="00311F7E"/>
    <w:rsid w:val="00314E05"/>
    <w:rsid w:val="003205B1"/>
    <w:rsid w:val="003257BC"/>
    <w:rsid w:val="00325CD2"/>
    <w:rsid w:val="00330346"/>
    <w:rsid w:val="00330936"/>
    <w:rsid w:val="00336FB7"/>
    <w:rsid w:val="00341D66"/>
    <w:rsid w:val="0034323A"/>
    <w:rsid w:val="00345632"/>
    <w:rsid w:val="0035160E"/>
    <w:rsid w:val="00351D96"/>
    <w:rsid w:val="00352C68"/>
    <w:rsid w:val="00355D55"/>
    <w:rsid w:val="0036072B"/>
    <w:rsid w:val="00362CFC"/>
    <w:rsid w:val="00364F4C"/>
    <w:rsid w:val="00367053"/>
    <w:rsid w:val="0037022B"/>
    <w:rsid w:val="00370F39"/>
    <w:rsid w:val="00380546"/>
    <w:rsid w:val="003811C1"/>
    <w:rsid w:val="00383558"/>
    <w:rsid w:val="00387815"/>
    <w:rsid w:val="003A0DA6"/>
    <w:rsid w:val="003A39F0"/>
    <w:rsid w:val="003A406E"/>
    <w:rsid w:val="003A441A"/>
    <w:rsid w:val="003B7D51"/>
    <w:rsid w:val="003C1E80"/>
    <w:rsid w:val="003C3661"/>
    <w:rsid w:val="003D626D"/>
    <w:rsid w:val="0040205D"/>
    <w:rsid w:val="00405193"/>
    <w:rsid w:val="00406353"/>
    <w:rsid w:val="004132E9"/>
    <w:rsid w:val="00413844"/>
    <w:rsid w:val="004157CC"/>
    <w:rsid w:val="00415CA8"/>
    <w:rsid w:val="00421288"/>
    <w:rsid w:val="0042517D"/>
    <w:rsid w:val="0042650B"/>
    <w:rsid w:val="00430C36"/>
    <w:rsid w:val="00432D63"/>
    <w:rsid w:val="00434D1F"/>
    <w:rsid w:val="00437CF0"/>
    <w:rsid w:val="004427F5"/>
    <w:rsid w:val="00444732"/>
    <w:rsid w:val="00450FC4"/>
    <w:rsid w:val="00451795"/>
    <w:rsid w:val="00452DEB"/>
    <w:rsid w:val="00471540"/>
    <w:rsid w:val="00473A42"/>
    <w:rsid w:val="004742F1"/>
    <w:rsid w:val="0047652B"/>
    <w:rsid w:val="00480884"/>
    <w:rsid w:val="00485886"/>
    <w:rsid w:val="00492802"/>
    <w:rsid w:val="00492F88"/>
    <w:rsid w:val="004931DA"/>
    <w:rsid w:val="00494AE1"/>
    <w:rsid w:val="004A3106"/>
    <w:rsid w:val="004B39C5"/>
    <w:rsid w:val="004B5A24"/>
    <w:rsid w:val="004B7D6B"/>
    <w:rsid w:val="004C0F1A"/>
    <w:rsid w:val="004C1D75"/>
    <w:rsid w:val="004C2B44"/>
    <w:rsid w:val="004D122D"/>
    <w:rsid w:val="004D2C49"/>
    <w:rsid w:val="004D2F4E"/>
    <w:rsid w:val="004D3A5A"/>
    <w:rsid w:val="004E34AA"/>
    <w:rsid w:val="004E524A"/>
    <w:rsid w:val="004E6804"/>
    <w:rsid w:val="004F2D35"/>
    <w:rsid w:val="004F2D62"/>
    <w:rsid w:val="004F333A"/>
    <w:rsid w:val="004F5C29"/>
    <w:rsid w:val="004F797A"/>
    <w:rsid w:val="0050269F"/>
    <w:rsid w:val="005045B7"/>
    <w:rsid w:val="00507E38"/>
    <w:rsid w:val="0051618D"/>
    <w:rsid w:val="00530745"/>
    <w:rsid w:val="005319B0"/>
    <w:rsid w:val="0053333A"/>
    <w:rsid w:val="0053529D"/>
    <w:rsid w:val="0053628E"/>
    <w:rsid w:val="00537A2E"/>
    <w:rsid w:val="00537AD2"/>
    <w:rsid w:val="00541EAF"/>
    <w:rsid w:val="0054234A"/>
    <w:rsid w:val="005424B3"/>
    <w:rsid w:val="00542C85"/>
    <w:rsid w:val="00552F44"/>
    <w:rsid w:val="00560918"/>
    <w:rsid w:val="00565B46"/>
    <w:rsid w:val="00576ACD"/>
    <w:rsid w:val="00576C9E"/>
    <w:rsid w:val="00576F32"/>
    <w:rsid w:val="0058034D"/>
    <w:rsid w:val="00583609"/>
    <w:rsid w:val="005854D7"/>
    <w:rsid w:val="00591291"/>
    <w:rsid w:val="00593C93"/>
    <w:rsid w:val="005954E5"/>
    <w:rsid w:val="00596602"/>
    <w:rsid w:val="005968C7"/>
    <w:rsid w:val="00596AA9"/>
    <w:rsid w:val="005A0760"/>
    <w:rsid w:val="005A1AB4"/>
    <w:rsid w:val="005A35A9"/>
    <w:rsid w:val="005A49E2"/>
    <w:rsid w:val="005A606E"/>
    <w:rsid w:val="005A76C2"/>
    <w:rsid w:val="005B088B"/>
    <w:rsid w:val="005B0EFC"/>
    <w:rsid w:val="005B2C79"/>
    <w:rsid w:val="005B3BD7"/>
    <w:rsid w:val="005B6D27"/>
    <w:rsid w:val="005C2E6C"/>
    <w:rsid w:val="005C34D5"/>
    <w:rsid w:val="005C43C3"/>
    <w:rsid w:val="005C7D19"/>
    <w:rsid w:val="005D0A1A"/>
    <w:rsid w:val="005D0D9B"/>
    <w:rsid w:val="005D2C86"/>
    <w:rsid w:val="005D4303"/>
    <w:rsid w:val="005D64F2"/>
    <w:rsid w:val="005D74D0"/>
    <w:rsid w:val="005D7515"/>
    <w:rsid w:val="005E76B3"/>
    <w:rsid w:val="005E7E8B"/>
    <w:rsid w:val="005F3759"/>
    <w:rsid w:val="005F45E6"/>
    <w:rsid w:val="005F6092"/>
    <w:rsid w:val="005F627B"/>
    <w:rsid w:val="0060010B"/>
    <w:rsid w:val="00601409"/>
    <w:rsid w:val="006028F8"/>
    <w:rsid w:val="006128FA"/>
    <w:rsid w:val="0061519B"/>
    <w:rsid w:val="00616B3F"/>
    <w:rsid w:val="00620B3F"/>
    <w:rsid w:val="00627A4B"/>
    <w:rsid w:val="00627F76"/>
    <w:rsid w:val="00631241"/>
    <w:rsid w:val="00634D78"/>
    <w:rsid w:val="00635FF9"/>
    <w:rsid w:val="00640C25"/>
    <w:rsid w:val="00647C17"/>
    <w:rsid w:val="00647F39"/>
    <w:rsid w:val="00650072"/>
    <w:rsid w:val="00651C74"/>
    <w:rsid w:val="00651FC1"/>
    <w:rsid w:val="00652F25"/>
    <w:rsid w:val="00671B97"/>
    <w:rsid w:val="0067344E"/>
    <w:rsid w:val="0067614C"/>
    <w:rsid w:val="00684749"/>
    <w:rsid w:val="006A1013"/>
    <w:rsid w:val="006A6D56"/>
    <w:rsid w:val="006C1386"/>
    <w:rsid w:val="006D545F"/>
    <w:rsid w:val="006E0064"/>
    <w:rsid w:val="006E0250"/>
    <w:rsid w:val="006E4D39"/>
    <w:rsid w:val="006E6366"/>
    <w:rsid w:val="006E7F63"/>
    <w:rsid w:val="006F09BB"/>
    <w:rsid w:val="006F2573"/>
    <w:rsid w:val="006F6B59"/>
    <w:rsid w:val="007006C6"/>
    <w:rsid w:val="007013E3"/>
    <w:rsid w:val="00703D7B"/>
    <w:rsid w:val="00707DE1"/>
    <w:rsid w:val="00710463"/>
    <w:rsid w:val="00712ACD"/>
    <w:rsid w:val="00713A9A"/>
    <w:rsid w:val="0071430A"/>
    <w:rsid w:val="00714E56"/>
    <w:rsid w:val="0071573B"/>
    <w:rsid w:val="00716C94"/>
    <w:rsid w:val="007274A9"/>
    <w:rsid w:val="007354A0"/>
    <w:rsid w:val="00747853"/>
    <w:rsid w:val="00750E26"/>
    <w:rsid w:val="007601C6"/>
    <w:rsid w:val="007623A7"/>
    <w:rsid w:val="007654FC"/>
    <w:rsid w:val="0077320C"/>
    <w:rsid w:val="00775E41"/>
    <w:rsid w:val="0078111E"/>
    <w:rsid w:val="00782130"/>
    <w:rsid w:val="007915E2"/>
    <w:rsid w:val="0079211F"/>
    <w:rsid w:val="00793BA1"/>
    <w:rsid w:val="007959F1"/>
    <w:rsid w:val="00795CEC"/>
    <w:rsid w:val="007A020D"/>
    <w:rsid w:val="007A7395"/>
    <w:rsid w:val="007B213F"/>
    <w:rsid w:val="007B25BF"/>
    <w:rsid w:val="007B393C"/>
    <w:rsid w:val="007B3E20"/>
    <w:rsid w:val="007C46C9"/>
    <w:rsid w:val="007D3029"/>
    <w:rsid w:val="007D3243"/>
    <w:rsid w:val="007D394E"/>
    <w:rsid w:val="007E088B"/>
    <w:rsid w:val="007E5407"/>
    <w:rsid w:val="007E7B77"/>
    <w:rsid w:val="007F3BC8"/>
    <w:rsid w:val="007F6DC3"/>
    <w:rsid w:val="007F7A7F"/>
    <w:rsid w:val="00801B8B"/>
    <w:rsid w:val="0081240A"/>
    <w:rsid w:val="00813D08"/>
    <w:rsid w:val="00822416"/>
    <w:rsid w:val="008236A4"/>
    <w:rsid w:val="00825E48"/>
    <w:rsid w:val="008264F1"/>
    <w:rsid w:val="00833FB8"/>
    <w:rsid w:val="00836A70"/>
    <w:rsid w:val="00840306"/>
    <w:rsid w:val="00840C86"/>
    <w:rsid w:val="008427A3"/>
    <w:rsid w:val="008456AD"/>
    <w:rsid w:val="00846361"/>
    <w:rsid w:val="00846634"/>
    <w:rsid w:val="00847354"/>
    <w:rsid w:val="0084758D"/>
    <w:rsid w:val="00847880"/>
    <w:rsid w:val="0085396E"/>
    <w:rsid w:val="00853AC3"/>
    <w:rsid w:val="00855F87"/>
    <w:rsid w:val="00886CBA"/>
    <w:rsid w:val="008877C1"/>
    <w:rsid w:val="0089380E"/>
    <w:rsid w:val="00897080"/>
    <w:rsid w:val="008977AF"/>
    <w:rsid w:val="008A1584"/>
    <w:rsid w:val="008A7A99"/>
    <w:rsid w:val="008B087A"/>
    <w:rsid w:val="008B22E5"/>
    <w:rsid w:val="008B37BA"/>
    <w:rsid w:val="008B4768"/>
    <w:rsid w:val="008B6089"/>
    <w:rsid w:val="008B6944"/>
    <w:rsid w:val="008B7616"/>
    <w:rsid w:val="008B77E3"/>
    <w:rsid w:val="008C58A7"/>
    <w:rsid w:val="008C6996"/>
    <w:rsid w:val="008D346E"/>
    <w:rsid w:val="008D5099"/>
    <w:rsid w:val="008E20C3"/>
    <w:rsid w:val="008E3323"/>
    <w:rsid w:val="008E63A1"/>
    <w:rsid w:val="00904889"/>
    <w:rsid w:val="00912030"/>
    <w:rsid w:val="0091484F"/>
    <w:rsid w:val="0091590F"/>
    <w:rsid w:val="00916DEE"/>
    <w:rsid w:val="00920498"/>
    <w:rsid w:val="0092403C"/>
    <w:rsid w:val="009253B9"/>
    <w:rsid w:val="00925995"/>
    <w:rsid w:val="009264AB"/>
    <w:rsid w:val="00931D14"/>
    <w:rsid w:val="0093383A"/>
    <w:rsid w:val="009346B4"/>
    <w:rsid w:val="0093631C"/>
    <w:rsid w:val="009415B0"/>
    <w:rsid w:val="00945036"/>
    <w:rsid w:val="00946A88"/>
    <w:rsid w:val="009536A9"/>
    <w:rsid w:val="0095374F"/>
    <w:rsid w:val="00954F0E"/>
    <w:rsid w:val="00957073"/>
    <w:rsid w:val="00957272"/>
    <w:rsid w:val="00961734"/>
    <w:rsid w:val="0096751C"/>
    <w:rsid w:val="0096783E"/>
    <w:rsid w:val="009708FD"/>
    <w:rsid w:val="00970A34"/>
    <w:rsid w:val="00971DAD"/>
    <w:rsid w:val="009720C3"/>
    <w:rsid w:val="00972ED3"/>
    <w:rsid w:val="00975C52"/>
    <w:rsid w:val="00980B9E"/>
    <w:rsid w:val="009822B4"/>
    <w:rsid w:val="00990A0B"/>
    <w:rsid w:val="009916F4"/>
    <w:rsid w:val="009A107E"/>
    <w:rsid w:val="009A13A5"/>
    <w:rsid w:val="009A30C6"/>
    <w:rsid w:val="009A7C8E"/>
    <w:rsid w:val="009C14BE"/>
    <w:rsid w:val="009C4CC2"/>
    <w:rsid w:val="009C56B7"/>
    <w:rsid w:val="009C609F"/>
    <w:rsid w:val="009D433B"/>
    <w:rsid w:val="009E742E"/>
    <w:rsid w:val="009F09F7"/>
    <w:rsid w:val="009F243E"/>
    <w:rsid w:val="009F6D10"/>
    <w:rsid w:val="009F7BCC"/>
    <w:rsid w:val="00A042A3"/>
    <w:rsid w:val="00A1124A"/>
    <w:rsid w:val="00A11DD1"/>
    <w:rsid w:val="00A14312"/>
    <w:rsid w:val="00A31A6B"/>
    <w:rsid w:val="00A37500"/>
    <w:rsid w:val="00A40BB4"/>
    <w:rsid w:val="00A43DD0"/>
    <w:rsid w:val="00A45007"/>
    <w:rsid w:val="00A52231"/>
    <w:rsid w:val="00A522F0"/>
    <w:rsid w:val="00A53892"/>
    <w:rsid w:val="00A569A8"/>
    <w:rsid w:val="00A573CD"/>
    <w:rsid w:val="00A62AB3"/>
    <w:rsid w:val="00A6395B"/>
    <w:rsid w:val="00A64282"/>
    <w:rsid w:val="00A651EE"/>
    <w:rsid w:val="00A72078"/>
    <w:rsid w:val="00A75A50"/>
    <w:rsid w:val="00A769C9"/>
    <w:rsid w:val="00A76D16"/>
    <w:rsid w:val="00A83192"/>
    <w:rsid w:val="00A91287"/>
    <w:rsid w:val="00A96001"/>
    <w:rsid w:val="00A976FB"/>
    <w:rsid w:val="00AA01CA"/>
    <w:rsid w:val="00AA2F0B"/>
    <w:rsid w:val="00AB3F10"/>
    <w:rsid w:val="00AB51E7"/>
    <w:rsid w:val="00AC05DD"/>
    <w:rsid w:val="00AC64DF"/>
    <w:rsid w:val="00AC7123"/>
    <w:rsid w:val="00AD0965"/>
    <w:rsid w:val="00AD3E04"/>
    <w:rsid w:val="00AD60BE"/>
    <w:rsid w:val="00AE1825"/>
    <w:rsid w:val="00AE4695"/>
    <w:rsid w:val="00AE528E"/>
    <w:rsid w:val="00AE5BA0"/>
    <w:rsid w:val="00AE6A5A"/>
    <w:rsid w:val="00AF0FD2"/>
    <w:rsid w:val="00AF17C8"/>
    <w:rsid w:val="00AF21FF"/>
    <w:rsid w:val="00AF2DD2"/>
    <w:rsid w:val="00AF6756"/>
    <w:rsid w:val="00AF7FC6"/>
    <w:rsid w:val="00B00771"/>
    <w:rsid w:val="00B0526E"/>
    <w:rsid w:val="00B07A7F"/>
    <w:rsid w:val="00B1074E"/>
    <w:rsid w:val="00B10BE9"/>
    <w:rsid w:val="00B10E1D"/>
    <w:rsid w:val="00B1591D"/>
    <w:rsid w:val="00B2368D"/>
    <w:rsid w:val="00B2724E"/>
    <w:rsid w:val="00B34F9C"/>
    <w:rsid w:val="00B426CD"/>
    <w:rsid w:val="00B45847"/>
    <w:rsid w:val="00B62081"/>
    <w:rsid w:val="00B656BA"/>
    <w:rsid w:val="00B710A7"/>
    <w:rsid w:val="00B72EA0"/>
    <w:rsid w:val="00B757C6"/>
    <w:rsid w:val="00B767D5"/>
    <w:rsid w:val="00B76CCE"/>
    <w:rsid w:val="00B808F4"/>
    <w:rsid w:val="00B86B3B"/>
    <w:rsid w:val="00B8706F"/>
    <w:rsid w:val="00B87F90"/>
    <w:rsid w:val="00B90CF4"/>
    <w:rsid w:val="00B91765"/>
    <w:rsid w:val="00B961C0"/>
    <w:rsid w:val="00BA0706"/>
    <w:rsid w:val="00BA2220"/>
    <w:rsid w:val="00BA45DD"/>
    <w:rsid w:val="00BA50ED"/>
    <w:rsid w:val="00BA5CEF"/>
    <w:rsid w:val="00BB34B5"/>
    <w:rsid w:val="00BB4E32"/>
    <w:rsid w:val="00BB50C1"/>
    <w:rsid w:val="00BB741F"/>
    <w:rsid w:val="00BC1299"/>
    <w:rsid w:val="00BD5D5B"/>
    <w:rsid w:val="00BE13A0"/>
    <w:rsid w:val="00BE4D30"/>
    <w:rsid w:val="00BE58C2"/>
    <w:rsid w:val="00BF7924"/>
    <w:rsid w:val="00C005E9"/>
    <w:rsid w:val="00C00EA6"/>
    <w:rsid w:val="00C101BF"/>
    <w:rsid w:val="00C121DF"/>
    <w:rsid w:val="00C1430A"/>
    <w:rsid w:val="00C15D32"/>
    <w:rsid w:val="00C17018"/>
    <w:rsid w:val="00C20A91"/>
    <w:rsid w:val="00C23367"/>
    <w:rsid w:val="00C258C6"/>
    <w:rsid w:val="00C26809"/>
    <w:rsid w:val="00C3110A"/>
    <w:rsid w:val="00C355C0"/>
    <w:rsid w:val="00C36156"/>
    <w:rsid w:val="00C4358C"/>
    <w:rsid w:val="00C4545B"/>
    <w:rsid w:val="00C536C3"/>
    <w:rsid w:val="00C62503"/>
    <w:rsid w:val="00C7338D"/>
    <w:rsid w:val="00C76562"/>
    <w:rsid w:val="00C857C3"/>
    <w:rsid w:val="00C95ED4"/>
    <w:rsid w:val="00CA06D8"/>
    <w:rsid w:val="00CA631B"/>
    <w:rsid w:val="00CA780D"/>
    <w:rsid w:val="00CA79BF"/>
    <w:rsid w:val="00CB38EB"/>
    <w:rsid w:val="00CB3917"/>
    <w:rsid w:val="00CB47B1"/>
    <w:rsid w:val="00CB6DDC"/>
    <w:rsid w:val="00CC50D3"/>
    <w:rsid w:val="00CD044A"/>
    <w:rsid w:val="00CD2744"/>
    <w:rsid w:val="00CD685A"/>
    <w:rsid w:val="00CE0C8E"/>
    <w:rsid w:val="00CE265F"/>
    <w:rsid w:val="00CF2526"/>
    <w:rsid w:val="00CF31C2"/>
    <w:rsid w:val="00D04580"/>
    <w:rsid w:val="00D10E6E"/>
    <w:rsid w:val="00D158E2"/>
    <w:rsid w:val="00D17831"/>
    <w:rsid w:val="00D208A3"/>
    <w:rsid w:val="00D24333"/>
    <w:rsid w:val="00D2455E"/>
    <w:rsid w:val="00D334B4"/>
    <w:rsid w:val="00D419F0"/>
    <w:rsid w:val="00D4418E"/>
    <w:rsid w:val="00D44AC4"/>
    <w:rsid w:val="00D45AEE"/>
    <w:rsid w:val="00D46474"/>
    <w:rsid w:val="00D54908"/>
    <w:rsid w:val="00D5572D"/>
    <w:rsid w:val="00D56561"/>
    <w:rsid w:val="00D574F5"/>
    <w:rsid w:val="00D664D3"/>
    <w:rsid w:val="00D7569A"/>
    <w:rsid w:val="00D764C8"/>
    <w:rsid w:val="00D765E8"/>
    <w:rsid w:val="00D77A0F"/>
    <w:rsid w:val="00D81C93"/>
    <w:rsid w:val="00D945A7"/>
    <w:rsid w:val="00DA0356"/>
    <w:rsid w:val="00DA0C30"/>
    <w:rsid w:val="00DA216A"/>
    <w:rsid w:val="00DA6585"/>
    <w:rsid w:val="00DB59B2"/>
    <w:rsid w:val="00DB75BC"/>
    <w:rsid w:val="00DC457E"/>
    <w:rsid w:val="00DC5295"/>
    <w:rsid w:val="00DD0475"/>
    <w:rsid w:val="00DD0AB6"/>
    <w:rsid w:val="00DD1F3E"/>
    <w:rsid w:val="00DD73C1"/>
    <w:rsid w:val="00DE1506"/>
    <w:rsid w:val="00DE4D6D"/>
    <w:rsid w:val="00DE64FC"/>
    <w:rsid w:val="00DF0A02"/>
    <w:rsid w:val="00DF0E63"/>
    <w:rsid w:val="00DF2190"/>
    <w:rsid w:val="00DF4433"/>
    <w:rsid w:val="00E009FD"/>
    <w:rsid w:val="00E02879"/>
    <w:rsid w:val="00E076D0"/>
    <w:rsid w:val="00E077D5"/>
    <w:rsid w:val="00E2532D"/>
    <w:rsid w:val="00E269EA"/>
    <w:rsid w:val="00E26C8F"/>
    <w:rsid w:val="00E30E95"/>
    <w:rsid w:val="00E31E37"/>
    <w:rsid w:val="00E3460B"/>
    <w:rsid w:val="00E403E6"/>
    <w:rsid w:val="00E41A81"/>
    <w:rsid w:val="00E41AA3"/>
    <w:rsid w:val="00E4277B"/>
    <w:rsid w:val="00E439A2"/>
    <w:rsid w:val="00E50489"/>
    <w:rsid w:val="00E535CC"/>
    <w:rsid w:val="00E53BB0"/>
    <w:rsid w:val="00E55A70"/>
    <w:rsid w:val="00E56687"/>
    <w:rsid w:val="00E56C2A"/>
    <w:rsid w:val="00E60742"/>
    <w:rsid w:val="00E62AF5"/>
    <w:rsid w:val="00E6334A"/>
    <w:rsid w:val="00E656B1"/>
    <w:rsid w:val="00E65FE0"/>
    <w:rsid w:val="00E70F4D"/>
    <w:rsid w:val="00E71879"/>
    <w:rsid w:val="00E72EB6"/>
    <w:rsid w:val="00E74198"/>
    <w:rsid w:val="00E800D8"/>
    <w:rsid w:val="00E8052E"/>
    <w:rsid w:val="00E84029"/>
    <w:rsid w:val="00E84445"/>
    <w:rsid w:val="00E8504D"/>
    <w:rsid w:val="00E863B9"/>
    <w:rsid w:val="00E86678"/>
    <w:rsid w:val="00E960A0"/>
    <w:rsid w:val="00EA2F18"/>
    <w:rsid w:val="00EA3B60"/>
    <w:rsid w:val="00EA47FD"/>
    <w:rsid w:val="00EA684E"/>
    <w:rsid w:val="00EA68E4"/>
    <w:rsid w:val="00EA6B00"/>
    <w:rsid w:val="00EB1B0B"/>
    <w:rsid w:val="00EB4704"/>
    <w:rsid w:val="00EB7155"/>
    <w:rsid w:val="00EC5A74"/>
    <w:rsid w:val="00ED0E44"/>
    <w:rsid w:val="00EF09A5"/>
    <w:rsid w:val="00EF7EC2"/>
    <w:rsid w:val="00EF7FDC"/>
    <w:rsid w:val="00F03854"/>
    <w:rsid w:val="00F113D4"/>
    <w:rsid w:val="00F3450D"/>
    <w:rsid w:val="00F41DC7"/>
    <w:rsid w:val="00F43CCC"/>
    <w:rsid w:val="00F4404F"/>
    <w:rsid w:val="00F46321"/>
    <w:rsid w:val="00F51A93"/>
    <w:rsid w:val="00F52605"/>
    <w:rsid w:val="00F533A3"/>
    <w:rsid w:val="00F55C50"/>
    <w:rsid w:val="00F57855"/>
    <w:rsid w:val="00F57F0B"/>
    <w:rsid w:val="00F61D87"/>
    <w:rsid w:val="00F716D6"/>
    <w:rsid w:val="00F83AD3"/>
    <w:rsid w:val="00F84EEB"/>
    <w:rsid w:val="00F9151B"/>
    <w:rsid w:val="00F91605"/>
    <w:rsid w:val="00F97869"/>
    <w:rsid w:val="00FA1F1B"/>
    <w:rsid w:val="00FA3FC0"/>
    <w:rsid w:val="00FA7DF5"/>
    <w:rsid w:val="00FB0CA6"/>
    <w:rsid w:val="00FB3D8B"/>
    <w:rsid w:val="00FB4D54"/>
    <w:rsid w:val="00FC169E"/>
    <w:rsid w:val="00FD20E4"/>
    <w:rsid w:val="00FD77C4"/>
    <w:rsid w:val="00FE0B03"/>
    <w:rsid w:val="00FE275D"/>
    <w:rsid w:val="00FF242E"/>
    <w:rsid w:val="00FF4087"/>
    <w:rsid w:val="00FF57CA"/>
    <w:rsid w:val="00FF72E2"/>
    <w:rsid w:val="04A53437"/>
    <w:rsid w:val="053562EA"/>
    <w:rsid w:val="0836133E"/>
    <w:rsid w:val="16182EA8"/>
    <w:rsid w:val="181E0D34"/>
    <w:rsid w:val="1BDD40B8"/>
    <w:rsid w:val="22C22CCF"/>
    <w:rsid w:val="289C4883"/>
    <w:rsid w:val="2B37556D"/>
    <w:rsid w:val="32863EB1"/>
    <w:rsid w:val="36730F80"/>
    <w:rsid w:val="3D8C028C"/>
    <w:rsid w:val="3F1336AB"/>
    <w:rsid w:val="3F241CF7"/>
    <w:rsid w:val="4A6D0A94"/>
    <w:rsid w:val="502A72B4"/>
    <w:rsid w:val="50C43A99"/>
    <w:rsid w:val="5EE50925"/>
    <w:rsid w:val="607B6A72"/>
    <w:rsid w:val="6ADA35A3"/>
    <w:rsid w:val="716D439D"/>
    <w:rsid w:val="79333B64"/>
    <w:rsid w:val="79E43D5E"/>
    <w:rsid w:val="7C90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2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uiPriority w:val="99"/>
    <w:qFormat/>
    <w:pPr>
      <w:widowControl w:val="0"/>
      <w:ind w:leftChars="200" w:left="420" w:firstLineChars="200" w:firstLine="420"/>
      <w:jc w:val="both"/>
    </w:pPr>
    <w:rPr>
      <w:kern w:val="2"/>
      <w:sz w:val="21"/>
    </w:rPr>
  </w:style>
  <w:style w:type="paragraph" w:styleId="a3">
    <w:name w:val="Balloon Text"/>
    <w:basedOn w:val="a"/>
    <w:link w:val="Char"/>
    <w:semiHidden/>
    <w:qFormat/>
    <w:rPr>
      <w:rFonts w:ascii="Times New Roman" w:eastAsia="宋体" w:hAnsi="Times New Roman" w:cs="Times New Roman"/>
      <w:kern w:val="0"/>
      <w:sz w:val="2"/>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paragraph" w:customStyle="1" w:styleId="Default">
    <w:name w:val="Default"/>
    <w:qFormat/>
    <w:pPr>
      <w:widowControl w:val="0"/>
      <w:autoSpaceDE w:val="0"/>
      <w:autoSpaceDN w:val="0"/>
      <w:adjustRightInd w:val="0"/>
    </w:pPr>
    <w:rPr>
      <w:rFonts w:ascii="仿宋" w:eastAsiaTheme="minorEastAsia" w:hAnsi="仿宋" w:cs="仿宋"/>
      <w:color w:val="000000"/>
      <w:sz w:val="24"/>
      <w:szCs w:val="24"/>
    </w:rPr>
  </w:style>
  <w:style w:type="character" w:customStyle="1" w:styleId="Char">
    <w:name w:val="批注框文本 Char"/>
    <w:basedOn w:val="a0"/>
    <w:link w:val="a3"/>
    <w:semiHidden/>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2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uiPriority w:val="99"/>
    <w:qFormat/>
    <w:pPr>
      <w:widowControl w:val="0"/>
      <w:ind w:leftChars="200" w:left="420" w:firstLineChars="200" w:firstLine="420"/>
      <w:jc w:val="both"/>
    </w:pPr>
    <w:rPr>
      <w:kern w:val="2"/>
      <w:sz w:val="21"/>
    </w:rPr>
  </w:style>
  <w:style w:type="paragraph" w:styleId="a3">
    <w:name w:val="Balloon Text"/>
    <w:basedOn w:val="a"/>
    <w:link w:val="Char"/>
    <w:semiHidden/>
    <w:qFormat/>
    <w:rPr>
      <w:rFonts w:ascii="Times New Roman" w:eastAsia="宋体" w:hAnsi="Times New Roman" w:cs="Times New Roman"/>
      <w:kern w:val="0"/>
      <w:sz w:val="2"/>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paragraph" w:customStyle="1" w:styleId="Default">
    <w:name w:val="Default"/>
    <w:qFormat/>
    <w:pPr>
      <w:widowControl w:val="0"/>
      <w:autoSpaceDE w:val="0"/>
      <w:autoSpaceDN w:val="0"/>
      <w:adjustRightInd w:val="0"/>
    </w:pPr>
    <w:rPr>
      <w:rFonts w:ascii="仿宋" w:eastAsiaTheme="minorEastAsia" w:hAnsi="仿宋" w:cs="仿宋"/>
      <w:color w:val="000000"/>
      <w:sz w:val="24"/>
      <w:szCs w:val="24"/>
    </w:rPr>
  </w:style>
  <w:style w:type="character" w:customStyle="1" w:styleId="Char">
    <w:name w:val="批注框文本 Char"/>
    <w:basedOn w:val="a0"/>
    <w:link w:val="a3"/>
    <w:semiHidden/>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istrator\Desktop\&#36164;&#20135;&#26500;&#25104;&#2227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ministrator\Desktop\&#36164;&#20135;&#26500;&#25104;&#2227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dministrator\Desktop\&#36164;&#20135;&#26500;&#25104;&#22270;(1).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1" i="0" baseline="0">
                <a:effectLst/>
              </a:rPr>
              <a:t>图</a:t>
            </a:r>
            <a:r>
              <a:rPr lang="en-US" altLang="zh-CN" sz="1400" b="1" i="0" baseline="0">
                <a:effectLst/>
              </a:rPr>
              <a:t>1         2020</a:t>
            </a:r>
            <a:r>
              <a:rPr lang="zh-CN" altLang="en-US" sz="1400" b="1" i="0" baseline="0">
                <a:effectLst/>
              </a:rPr>
              <a:t>年学校资产构成图</a:t>
            </a:r>
            <a:endParaRPr lang="zh-CN" altLang="en-US" sz="1400">
              <a:effectLst/>
            </a:endParaRPr>
          </a:p>
        </c:rich>
      </c:tx>
      <c:layout>
        <c:manualLayout>
          <c:xMode val="edge"/>
          <c:yMode val="edge"/>
          <c:x val="0.27322859744990902"/>
          <c:y val="0.78864247311827995"/>
        </c:manualLayout>
      </c:layout>
      <c:overlay val="0"/>
    </c:title>
    <c:autoTitleDeleted val="0"/>
    <c:plotArea>
      <c:layout>
        <c:manualLayout>
          <c:layoutTarget val="inner"/>
          <c:xMode val="edge"/>
          <c:yMode val="edge"/>
          <c:x val="0.25452777777777802"/>
          <c:y val="9.8406189083820803E-2"/>
          <c:w val="0.40761111111111098"/>
          <c:h val="0.67935185185185198"/>
        </c:manualLayout>
      </c:layout>
      <c:pieChart>
        <c:varyColors val="1"/>
        <c:ser>
          <c:idx val="0"/>
          <c:order val="0"/>
          <c:explosion val="12"/>
          <c:dPt>
            <c:idx val="0"/>
            <c:bubble3D val="0"/>
            <c:explosion val="0"/>
          </c:dPt>
          <c:dPt>
            <c:idx val="1"/>
            <c:bubble3D val="0"/>
            <c:explosion val="1"/>
          </c:dPt>
          <c:dPt>
            <c:idx val="2"/>
            <c:bubble3D val="0"/>
          </c:dPt>
          <c:dLbls>
            <c:dLbl>
              <c:idx val="0"/>
              <c:layout>
                <c:manualLayout>
                  <c:x val="1.00171027928259E-2"/>
                  <c:y val="4.17832072363973E-2"/>
                </c:manualLayout>
              </c:layout>
              <c:tx>
                <c:rich>
                  <a:bodyPr/>
                  <a:lstStyle/>
                  <a:p>
                    <a:r>
                      <a:rPr lang="zh-CN" altLang="en-US"/>
                      <a:t>流动资产</a:t>
                    </a:r>
                  </a:p>
                  <a:p>
                    <a:r>
                      <a:rPr lang="en-US" altLang="zh-CN"/>
                      <a:t>37.45%</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1.6671381996980299E-2"/>
                  <c:y val="-8.8952444261078706E-2"/>
                </c:manualLayout>
              </c:layout>
              <c:tx>
                <c:rich>
                  <a:bodyPr/>
                  <a:lstStyle/>
                  <a:p>
                    <a:r>
                      <a:rPr lang="zh-CN" altLang="en-US"/>
                      <a:t>非流动资产</a:t>
                    </a:r>
                  </a:p>
                  <a:p>
                    <a:r>
                      <a:rPr lang="en-US" altLang="zh-CN"/>
                      <a:t>62.42%</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1.73211482460243E-2"/>
                  <c:y val="6.57909940518611E-18"/>
                </c:manualLayout>
              </c:layout>
              <c:tx>
                <c:rich>
                  <a:bodyPr/>
                  <a:lstStyle/>
                  <a:p>
                    <a:r>
                      <a:rPr lang="zh-CN" altLang="en-US"/>
                      <a:t>受托代理资产</a:t>
                    </a:r>
                  </a:p>
                  <a:p>
                    <a:r>
                      <a:rPr lang="en-US" altLang="zh-CN"/>
                      <a:t>0.13%</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Sheet1!$C$1:$E$1</c:f>
              <c:strCache>
                <c:ptCount val="3"/>
                <c:pt idx="0">
                  <c:v>流动资产</c:v>
                </c:pt>
                <c:pt idx="1">
                  <c:v>非流动资产</c:v>
                </c:pt>
                <c:pt idx="2">
                  <c:v>受托代理资产</c:v>
                </c:pt>
              </c:strCache>
            </c:strRef>
          </c:cat>
          <c:val>
            <c:numRef>
              <c:f>Sheet1!$C$2:$E$2</c:f>
              <c:numCache>
                <c:formatCode>General</c:formatCode>
                <c:ptCount val="3"/>
                <c:pt idx="0">
                  <c:v>19.010000000000002</c:v>
                </c:pt>
                <c:pt idx="1">
                  <c:v>31.69</c:v>
                </c:pt>
                <c:pt idx="2">
                  <c:v>6.6000000000000003E-2</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ln w="9525" cap="flat" cmpd="sng" algn="ctr">
      <a:noFill/>
      <a:prstDash val="solid"/>
      <a:round/>
    </a:ln>
  </c:spPr>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ctr" defTabSz="914400" rtl="0">
              <a:defRPr lang="zh-CN" altLang="en-US" sz="1400" b="1" i="0" u="none" strike="noStrike" kern="1200" baseline="0">
                <a:solidFill>
                  <a:sysClr val="windowText" lastClr="000000"/>
                </a:solidFill>
                <a:effectLst/>
                <a:latin typeface="+mn-lt"/>
                <a:ea typeface="+mn-ea"/>
                <a:cs typeface="+mn-cs"/>
              </a:defRPr>
            </a:pPr>
            <a:r>
              <a:rPr lang="zh-CN" altLang="en-US" sz="1400" b="1" i="0" u="none" strike="noStrike" kern="1200" baseline="0">
                <a:solidFill>
                  <a:sysClr val="windowText" lastClr="000000"/>
                </a:solidFill>
                <a:effectLst/>
                <a:latin typeface="+mn-lt"/>
                <a:ea typeface="+mn-ea"/>
                <a:cs typeface="+mn-cs"/>
              </a:rPr>
              <a:t>图</a:t>
            </a:r>
            <a:r>
              <a:rPr lang="en-US" altLang="zh-CN" sz="1400" b="1" i="0" u="none" strike="noStrike" kern="1200" baseline="0">
                <a:solidFill>
                  <a:sysClr val="windowText" lastClr="000000"/>
                </a:solidFill>
                <a:effectLst/>
                <a:latin typeface="+mn-lt"/>
                <a:ea typeface="+mn-ea"/>
                <a:cs typeface="+mn-cs"/>
              </a:rPr>
              <a:t>3     2020</a:t>
            </a:r>
            <a:r>
              <a:rPr lang="zh-CN" altLang="en-US" sz="1400" b="1" i="0" u="none" strike="noStrike" kern="1200" baseline="0">
                <a:solidFill>
                  <a:sysClr val="windowText" lastClr="000000"/>
                </a:solidFill>
                <a:effectLst/>
                <a:latin typeface="+mn-lt"/>
                <a:ea typeface="+mn-ea"/>
                <a:cs typeface="+mn-cs"/>
              </a:rPr>
              <a:t>年非流动资产构成图</a:t>
            </a:r>
          </a:p>
        </c:rich>
      </c:tx>
      <c:layout>
        <c:manualLayout>
          <c:xMode val="edge"/>
          <c:yMode val="edge"/>
          <c:x val="0.27302077865266799"/>
          <c:y val="0.89814814814814803"/>
        </c:manualLayout>
      </c:layout>
      <c:overlay val="0"/>
      <c:spPr>
        <a:noFill/>
        <a:ln>
          <a:noFill/>
        </a:ln>
        <a:effectLst/>
      </c:spPr>
    </c:title>
    <c:autoTitleDeleted val="0"/>
    <c:plotArea>
      <c:layout/>
      <c:pieChart>
        <c:varyColors val="1"/>
        <c:ser>
          <c:idx val="0"/>
          <c:order val="0"/>
          <c:explosion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6193263342082201"/>
                  <c:y val="-8.7124526100903002E-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8354352580927399"/>
                  <c:y val="-0.2004407261592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8.7854440069991296E-2"/>
                  <c:y val="8.3982939632545897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2.6954286964129499E-2"/>
                  <c:y val="2.2612277631962698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0232688101487301"/>
                  <c:y val="-0.1946525955088949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Sheet1!$B$47:$F$47</c:f>
              <c:strCache>
                <c:ptCount val="5"/>
                <c:pt idx="0">
                  <c:v>长期股权投资</c:v>
                </c:pt>
                <c:pt idx="1">
                  <c:v>固定资产</c:v>
                </c:pt>
                <c:pt idx="2">
                  <c:v>工程物资</c:v>
                </c:pt>
                <c:pt idx="3">
                  <c:v>在建工程</c:v>
                </c:pt>
                <c:pt idx="4">
                  <c:v>无形资产</c:v>
                </c:pt>
              </c:strCache>
            </c:strRef>
          </c:cat>
          <c:val>
            <c:numRef>
              <c:f>Sheet1!$B$48:$F$48</c:f>
              <c:numCache>
                <c:formatCode>0.00%</c:formatCode>
                <c:ptCount val="5"/>
                <c:pt idx="0">
                  <c:v>3.0499999999999999E-2</c:v>
                </c:pt>
                <c:pt idx="1">
                  <c:v>0.77539999999999998</c:v>
                </c:pt>
                <c:pt idx="2">
                  <c:v>1.2999999999999999E-3</c:v>
                </c:pt>
                <c:pt idx="3">
                  <c:v>0.13339999999999999</c:v>
                </c:pt>
                <c:pt idx="4">
                  <c:v>5.9400000000000001E-2</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ctr" defTabSz="914400" rtl="0">
              <a:defRPr lang="zh-CN" altLang="en-US" sz="1400" b="1" i="0" u="none" strike="noStrike" kern="1200" baseline="0">
                <a:solidFill>
                  <a:sysClr val="windowText" lastClr="000000"/>
                </a:solidFill>
                <a:effectLst/>
                <a:latin typeface="+mn-lt"/>
                <a:ea typeface="+mn-ea"/>
                <a:cs typeface="+mn-cs"/>
              </a:defRPr>
            </a:pPr>
            <a:r>
              <a:rPr lang="zh-CN" altLang="en-US" sz="1400" b="1" i="0" u="none" strike="noStrike" kern="1200" baseline="0">
                <a:solidFill>
                  <a:sysClr val="windowText" lastClr="000000"/>
                </a:solidFill>
                <a:effectLst/>
                <a:latin typeface="+mn-lt"/>
                <a:ea typeface="+mn-ea"/>
                <a:cs typeface="+mn-cs"/>
              </a:rPr>
              <a:t>图</a:t>
            </a:r>
            <a:r>
              <a:rPr lang="en-US" altLang="zh-CN" sz="1400" b="1" i="0" u="none" strike="noStrike" kern="1200" baseline="0">
                <a:solidFill>
                  <a:sysClr val="windowText" lastClr="000000"/>
                </a:solidFill>
                <a:effectLst/>
                <a:latin typeface="+mn-lt"/>
                <a:ea typeface="+mn-ea"/>
                <a:cs typeface="+mn-cs"/>
              </a:rPr>
              <a:t>4    2020</a:t>
            </a:r>
            <a:r>
              <a:rPr lang="zh-CN" altLang="en-US" sz="1400" b="1" i="0" u="none" strike="noStrike" kern="1200" baseline="0">
                <a:solidFill>
                  <a:sysClr val="windowText" lastClr="000000"/>
                </a:solidFill>
                <a:effectLst/>
                <a:latin typeface="+mn-lt"/>
                <a:ea typeface="+mn-ea"/>
                <a:cs typeface="+mn-cs"/>
              </a:rPr>
              <a:t>年固定资产构成图</a:t>
            </a:r>
          </a:p>
        </c:rich>
      </c:tx>
      <c:layout>
        <c:manualLayout>
          <c:xMode val="edge"/>
          <c:yMode val="edge"/>
          <c:x val="0.26072222222222202"/>
          <c:y val="0.88773148148148195"/>
        </c:manualLayout>
      </c:layout>
      <c:overlay val="0"/>
    </c:title>
    <c:autoTitleDeleted val="0"/>
    <c:plotArea>
      <c:layout/>
      <c:pieChart>
        <c:varyColors val="1"/>
        <c:ser>
          <c:idx val="0"/>
          <c:order val="0"/>
          <c:explosion val="3"/>
          <c:dPt>
            <c:idx val="0"/>
            <c:bubble3D val="0"/>
          </c:dPt>
          <c:dPt>
            <c:idx val="1"/>
            <c:bubble3D val="0"/>
          </c:dPt>
          <c:dPt>
            <c:idx val="2"/>
            <c:bubble3D val="0"/>
          </c:dPt>
          <c:dPt>
            <c:idx val="3"/>
            <c:bubble3D val="0"/>
          </c:dPt>
          <c:dPt>
            <c:idx val="4"/>
            <c:bubble3D val="0"/>
          </c:dPt>
          <c:dLbls>
            <c:dLbl>
              <c:idx val="0"/>
              <c:layout>
                <c:manualLayout>
                  <c:x val="0.102220800524934"/>
                  <c:y val="-0.17256379410907"/>
                </c:manualLayout>
              </c:layout>
              <c:tx>
                <c:rich>
                  <a:bodyPr/>
                  <a:lstStyle/>
                  <a:p>
                    <a:r>
                      <a:rPr lang="zh-CN" altLang="en-US"/>
                      <a:t>房屋及构筑物</a:t>
                    </a:r>
                  </a:p>
                  <a:p>
                    <a:r>
                      <a:rPr lang="en-US" altLang="zh-CN"/>
                      <a:t>67.31%</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3.80451662292213E-2"/>
                  <c:y val="0.12613079615048101"/>
                </c:manualLayout>
              </c:layout>
              <c:tx>
                <c:rich>
                  <a:bodyPr/>
                  <a:lstStyle/>
                  <a:p>
                    <a:r>
                      <a:rPr lang="zh-CN" altLang="en-US"/>
                      <a:t>仪器设备</a:t>
                    </a:r>
                  </a:p>
                  <a:p>
                    <a:r>
                      <a:rPr lang="en-US" altLang="zh-CN"/>
                      <a:t>22.39%</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tx>
                <c:rich>
                  <a:bodyPr/>
                  <a:lstStyle/>
                  <a:p>
                    <a:r>
                      <a:rPr lang="zh-CN" altLang="en-US"/>
                      <a:t>文物和陈列品</a:t>
                    </a:r>
                  </a:p>
                  <a:p>
                    <a:r>
                      <a:rPr lang="en-US" altLang="zh-CN"/>
                      <a:t>0.49%</a:t>
                    </a: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3"/>
              <c:tx>
                <c:rich>
                  <a:bodyPr/>
                  <a:lstStyle/>
                  <a:p>
                    <a:r>
                      <a:rPr lang="zh-CN" altLang="en-US"/>
                      <a:t>图书档案</a:t>
                    </a:r>
                  </a:p>
                  <a:p>
                    <a:r>
                      <a:rPr lang="en-US" altLang="zh-CN"/>
                      <a:t>5.31%</a:t>
                    </a: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4"/>
              <c:tx>
                <c:rich>
                  <a:bodyPr/>
                  <a:lstStyle/>
                  <a:p>
                    <a:r>
                      <a:rPr lang="zh-CN" altLang="en-US"/>
                      <a:t>家具用具装具及动植物</a:t>
                    </a:r>
                  </a:p>
                  <a:p>
                    <a:r>
                      <a:rPr lang="en-US" altLang="zh-CN"/>
                      <a:t>4.50%</a:t>
                    </a: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Sheet1!$B$69:$F$69</c:f>
              <c:strCache>
                <c:ptCount val="5"/>
                <c:pt idx="0">
                  <c:v>房屋及构筑物</c:v>
                </c:pt>
                <c:pt idx="1">
                  <c:v>仪器设备</c:v>
                </c:pt>
                <c:pt idx="2">
                  <c:v>文物和陈列品</c:v>
                </c:pt>
                <c:pt idx="3">
                  <c:v>图书档案</c:v>
                </c:pt>
                <c:pt idx="4">
                  <c:v>家具用具</c:v>
                </c:pt>
              </c:strCache>
            </c:strRef>
          </c:cat>
          <c:val>
            <c:numRef>
              <c:f>Sheet1!$B$70:$F$70</c:f>
              <c:numCache>
                <c:formatCode>0.00%</c:formatCode>
                <c:ptCount val="5"/>
                <c:pt idx="0">
                  <c:v>0.67310000000000003</c:v>
                </c:pt>
                <c:pt idx="1">
                  <c:v>0.22389999999999999</c:v>
                </c:pt>
                <c:pt idx="2">
                  <c:v>4.8999999999999998E-3</c:v>
                </c:pt>
                <c:pt idx="3">
                  <c:v>5.3100000000000001E-2</c:v>
                </c:pt>
                <c:pt idx="4">
                  <c:v>4.4999999999999998E-2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9525" cap="flat" cmpd="sng" algn="ctr">
      <a:noFill/>
      <a:prstDash val="solid"/>
      <a:round/>
    </a:ln>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1936</Words>
  <Characters>11040</Characters>
  <Application>Microsoft Office Word</Application>
  <DocSecurity>0</DocSecurity>
  <Lines>92</Lines>
  <Paragraphs>25</Paragraphs>
  <ScaleCrop>false</ScaleCrop>
  <Company>Microsoft</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刘毅</dc:creator>
  <cp:lastModifiedBy>刘毅</cp:lastModifiedBy>
  <cp:revision>59</cp:revision>
  <cp:lastPrinted>2021-03-31T09:58:00Z</cp:lastPrinted>
  <dcterms:created xsi:type="dcterms:W3CDTF">2021-03-27T03:31:00Z</dcterms:created>
  <dcterms:modified xsi:type="dcterms:W3CDTF">2021-04-01T02:43:00Z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06F66B0EF7E945C78480261708EAA0C0</vt:lpwstr>
  </property>
</Properties>
</file>